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南京体育学院研究生学业奖学金评审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实施细则（2</w:t>
      </w:r>
      <w:r>
        <w:rPr>
          <w:rFonts w:ascii="黑体" w:hAnsi="黑体" w:eastAsia="黑体" w:cs="黑体"/>
          <w:b/>
          <w:bCs/>
          <w:sz w:val="32"/>
          <w:szCs w:val="32"/>
        </w:rPr>
        <w:t>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21修订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为落实《南京体育学院研究生学业奖学金实施办法》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校研</w:t>
      </w:r>
      <w:r>
        <w:rPr>
          <w:rFonts w:hint="eastAsia" w:ascii="仿宋" w:hAnsi="仿宋" w:eastAsia="仿宋" w:cs="仿宋"/>
          <w:sz w:val="28"/>
          <w:szCs w:val="28"/>
        </w:rPr>
        <w:t>发</w:t>
      </w:r>
      <w:r>
        <w:rPr>
          <w:rFonts w:ascii="仿宋" w:hAnsi="仿宋" w:eastAsia="仿宋" w:cs="仿宋"/>
          <w:sz w:val="28"/>
          <w:szCs w:val="28"/>
        </w:rPr>
        <w:t>[20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z w:val="28"/>
          <w:szCs w:val="28"/>
        </w:rPr>
        <w:t>]3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ascii="仿宋" w:hAnsi="仿宋" w:eastAsia="仿宋" w:cs="仿宋"/>
          <w:sz w:val="28"/>
          <w:szCs w:val="28"/>
        </w:rPr>
        <w:t>),</w:t>
      </w:r>
      <w:r>
        <w:rPr>
          <w:rFonts w:hint="eastAsia" w:ascii="仿宋" w:hAnsi="仿宋" w:eastAsia="仿宋" w:cs="仿宋"/>
          <w:sz w:val="28"/>
          <w:szCs w:val="28"/>
        </w:rPr>
        <w:t>本着公开、公平、公正、择优原则，规范我校研究生学业奖学金评审工作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制定本细则。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评奖资格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根据《南京体育学院研究生学业奖学金实施办法》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校研</w:t>
      </w:r>
      <w:r>
        <w:rPr>
          <w:rFonts w:hint="eastAsia" w:ascii="仿宋" w:hAnsi="仿宋" w:eastAsia="仿宋" w:cs="仿宋"/>
          <w:sz w:val="28"/>
          <w:szCs w:val="28"/>
        </w:rPr>
        <w:t>发</w:t>
      </w:r>
      <w:r>
        <w:rPr>
          <w:rFonts w:ascii="仿宋" w:hAnsi="仿宋" w:eastAsia="仿宋" w:cs="仿宋"/>
          <w:sz w:val="28"/>
          <w:szCs w:val="28"/>
        </w:rPr>
        <w:t>[20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z w:val="28"/>
          <w:szCs w:val="28"/>
        </w:rPr>
        <w:t>]3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的规定，参评研究生学业奖学金需符合以下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条件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南京体育学院全日制学术型和专业型研究生。</w:t>
      </w:r>
      <w:r>
        <w:rPr>
          <w:rFonts w:hint="eastAsia" w:ascii="仿宋" w:hAnsi="仿宋" w:eastAsia="仿宋" w:cs="仿宋"/>
          <w:kern w:val="0"/>
          <w:sz w:val="28"/>
          <w:szCs w:val="28"/>
        </w:rPr>
        <w:t>录取类别为计划内定向、单位委托培养的研究生不参加学业奖学金评审。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1.2 </w:t>
      </w:r>
      <w:r>
        <w:rPr>
          <w:rFonts w:hint="eastAsia" w:ascii="仿宋" w:hAnsi="仿宋" w:eastAsia="仿宋" w:cs="仿宋"/>
          <w:sz w:val="28"/>
          <w:szCs w:val="28"/>
        </w:rPr>
        <w:t>参评研究生学业奖基本条件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1.2.1</w:t>
      </w:r>
      <w:r>
        <w:rPr>
          <w:rFonts w:hint="eastAsia" w:ascii="仿宋" w:hAnsi="仿宋" w:eastAsia="仿宋" w:cs="仿宋"/>
          <w:sz w:val="28"/>
          <w:szCs w:val="28"/>
        </w:rPr>
        <w:t>入学阶段的研究生（研究生一年级，简称研一），思想品德良好；按相关要求完成了全部报到手续；无欠费。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1.2.2</w:t>
      </w:r>
      <w:r>
        <w:rPr>
          <w:rFonts w:hint="eastAsia" w:ascii="仿宋" w:hAnsi="仿宋" w:eastAsia="仿宋" w:cs="仿宋"/>
          <w:sz w:val="28"/>
          <w:szCs w:val="28"/>
        </w:rPr>
        <w:t>课程学习阶段的研究生（研究生二年级，简称研二），思想品德良好；按期修完第一学年培养计划规定的全部课程，课程成绩达到相关规定要求；课堂学习、学术活动、班级活动达学籍管理要求；无欠费。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1.2.3</w:t>
      </w:r>
      <w:r>
        <w:rPr>
          <w:rFonts w:hint="eastAsia" w:ascii="仿宋" w:hAnsi="仿宋" w:eastAsia="仿宋" w:cs="仿宋"/>
          <w:sz w:val="28"/>
          <w:szCs w:val="28"/>
        </w:rPr>
        <w:t>进入论文阶段的研究生（研究生三年级，简称研三），思想品德良好；毕业论文进度正常；中期检查合格；学术活动、班级活动达学籍管理要求；无欠费。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</w:t>
      </w:r>
      <w:r>
        <w:rPr>
          <w:rFonts w:hint="eastAsia" w:ascii="仿宋" w:hAnsi="仿宋" w:eastAsia="仿宋" w:cs="仿宋"/>
          <w:sz w:val="28"/>
          <w:szCs w:val="28"/>
        </w:rPr>
        <w:t>具有下列情况之一者，不得参加研究生学业奖学金的评选：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1.3.1</w:t>
      </w:r>
      <w:r>
        <w:rPr>
          <w:rFonts w:hint="eastAsia" w:ascii="仿宋" w:hAnsi="仿宋" w:eastAsia="仿宋" w:cs="仿宋"/>
          <w:sz w:val="28"/>
          <w:szCs w:val="28"/>
        </w:rPr>
        <w:t>违反学术规范，有学术不端行为的；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1.3.2</w:t>
      </w:r>
      <w:r>
        <w:rPr>
          <w:rFonts w:hint="eastAsia" w:ascii="仿宋" w:hAnsi="仿宋" w:eastAsia="仿宋" w:cs="仿宋"/>
          <w:sz w:val="28"/>
          <w:szCs w:val="28"/>
        </w:rPr>
        <w:t>就读时间超过学制规定的；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1.3.3</w:t>
      </w:r>
      <w:r>
        <w:rPr>
          <w:rFonts w:hint="eastAsia" w:ascii="仿宋" w:hAnsi="仿宋" w:eastAsia="仿宋" w:cs="仿宋"/>
          <w:sz w:val="28"/>
          <w:szCs w:val="28"/>
        </w:rPr>
        <w:t>课程考核未能通过或未能按时通过获得规定学分的，奖学金等级降级，直至取消评审资格（一门不通过者，不参加一等奖学金排序，二门不通过者，不参加二等奖排序，三门及以上课程不通过者，取消评审资格）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1.3.4</w:t>
      </w:r>
      <w:r>
        <w:rPr>
          <w:rFonts w:hint="eastAsia" w:ascii="仿宋" w:hAnsi="仿宋" w:eastAsia="仿宋" w:cs="仿宋"/>
          <w:sz w:val="28"/>
          <w:szCs w:val="28"/>
        </w:rPr>
        <w:t>南京体育学院研究生学业奖评审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工作组</w:t>
      </w:r>
      <w:r>
        <w:rPr>
          <w:rFonts w:hint="eastAsia" w:ascii="仿宋" w:hAnsi="仿宋" w:eastAsia="仿宋" w:cs="仿宋"/>
          <w:sz w:val="28"/>
          <w:szCs w:val="28"/>
        </w:rPr>
        <w:t>认定的不宜申请的其他情况，如违反学籍管理规定相关条款，由评审工作组讨论并报南京体育学院研究生学业奖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学金</w:t>
      </w:r>
      <w:r>
        <w:rPr>
          <w:rFonts w:hint="eastAsia" w:ascii="仿宋" w:hAnsi="仿宋" w:eastAsia="仿宋" w:cs="仿宋"/>
          <w:sz w:val="28"/>
          <w:szCs w:val="28"/>
        </w:rPr>
        <w:t>领导小组批准。</w:t>
      </w:r>
    </w:p>
    <w:p>
      <w:pPr>
        <w:ind w:firstLine="551" w:firstLineChars="196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评奖程序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研一学生的评奖程序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正常入学就读的研究生一年级新生，自动通过资格审查，除申请鼓励奖的同学需提供相应的材料外，无需其它材料。根据本细则</w:t>
      </w:r>
      <w:r>
        <w:rPr>
          <w:rFonts w:ascii="仿宋" w:hAnsi="仿宋" w:eastAsia="仿宋" w:cs="仿宋"/>
          <w:sz w:val="28"/>
          <w:szCs w:val="28"/>
        </w:rPr>
        <w:t>4.2.1</w:t>
      </w:r>
      <w:r>
        <w:rPr>
          <w:rFonts w:hint="eastAsia" w:ascii="仿宋" w:hAnsi="仿宋" w:eastAsia="仿宋" w:cs="仿宋"/>
          <w:sz w:val="28"/>
          <w:szCs w:val="28"/>
        </w:rPr>
        <w:t>进行等级划分后初步名单提交领导小组进行审定，进入本细则</w:t>
      </w:r>
      <w:r>
        <w:rPr>
          <w:rFonts w:ascii="仿宋" w:hAnsi="仿宋" w:eastAsia="仿宋" w:cs="仿宋"/>
          <w:sz w:val="28"/>
          <w:szCs w:val="28"/>
        </w:rPr>
        <w:t>2.2.5</w:t>
      </w:r>
      <w:r>
        <w:rPr>
          <w:rFonts w:hint="eastAsia" w:ascii="仿宋" w:hAnsi="仿宋" w:eastAsia="仿宋" w:cs="仿宋"/>
          <w:sz w:val="28"/>
          <w:szCs w:val="28"/>
        </w:rPr>
        <w:t>步骤。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研二和研三学生的评奖程序</w:t>
      </w:r>
    </w:p>
    <w:p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2.2.1</w:t>
      </w:r>
      <w:r>
        <w:rPr>
          <w:rFonts w:hint="eastAsia" w:ascii="仿宋" w:hAnsi="仿宋" w:eastAsia="仿宋" w:cs="仿宋"/>
          <w:sz w:val="28"/>
          <w:szCs w:val="28"/>
        </w:rPr>
        <w:t>符合条件者根据有关规定和通知提出申请，填写</w:t>
      </w:r>
      <w:r>
        <w:rPr>
          <w:rFonts w:hint="eastAsia" w:ascii="仿宋" w:hAnsi="仿宋" w:eastAsia="仿宋" w:cs="仿宋"/>
          <w:kern w:val="0"/>
          <w:sz w:val="28"/>
          <w:szCs w:val="28"/>
        </w:rPr>
        <w:t>《</w:t>
      </w:r>
      <w:r>
        <w:rPr>
          <w:rFonts w:ascii="仿宋" w:hAnsi="仿宋" w:eastAsia="仿宋" w:cs="仿宋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年度南京体育学院研究生学业奖学金评审表》并按照相关要求，在通知</w:t>
      </w:r>
      <w:r>
        <w:rPr>
          <w:rFonts w:ascii="仿宋" w:hAnsi="仿宋" w:eastAsia="仿宋" w:cs="仿宋"/>
          <w:kern w:val="0"/>
          <w:sz w:val="28"/>
          <w:szCs w:val="28"/>
        </w:rPr>
        <w:t>要求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ascii="仿宋" w:hAnsi="仿宋" w:eastAsia="仿宋" w:cs="仿宋"/>
          <w:kern w:val="0"/>
          <w:sz w:val="28"/>
          <w:szCs w:val="28"/>
        </w:rPr>
        <w:t>日期</w:t>
      </w:r>
      <w:r>
        <w:rPr>
          <w:rFonts w:hint="eastAsia" w:ascii="仿宋" w:hAnsi="仿宋" w:eastAsia="仿宋" w:cs="仿宋"/>
          <w:kern w:val="0"/>
          <w:sz w:val="28"/>
          <w:szCs w:val="28"/>
        </w:rPr>
        <w:t>前提交申请材料。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2.2.2</w:t>
      </w:r>
      <w:r>
        <w:rPr>
          <w:rFonts w:hint="eastAsia" w:ascii="仿宋" w:hAnsi="仿宋" w:eastAsia="仿宋" w:cs="仿宋"/>
          <w:sz w:val="28"/>
          <w:szCs w:val="28"/>
        </w:rPr>
        <w:t>评审工作组审核所有申请者资格和提供的材料，确定进入评审的名单和材料。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2.2.3</w:t>
      </w:r>
      <w:r>
        <w:rPr>
          <w:rFonts w:hint="eastAsia" w:ascii="仿宋" w:hAnsi="仿宋" w:eastAsia="仿宋" w:cs="仿宋"/>
          <w:sz w:val="28"/>
          <w:szCs w:val="28"/>
        </w:rPr>
        <w:t>评审工作组按照本实施细则的</w:t>
      </w:r>
      <w:r>
        <w:rPr>
          <w:rFonts w:ascii="仿宋" w:hAnsi="仿宋" w:eastAsia="仿宋" w:cs="仿宋"/>
          <w:sz w:val="28"/>
          <w:szCs w:val="28"/>
        </w:rPr>
        <w:t>4.2.2</w:t>
      </w:r>
      <w:r>
        <w:rPr>
          <w:rFonts w:hint="eastAsia" w:ascii="仿宋" w:hAnsi="仿宋" w:eastAsia="仿宋" w:cs="仿宋"/>
          <w:sz w:val="28"/>
          <w:szCs w:val="28"/>
        </w:rPr>
        <w:t>进行评分，对进入评审阶段的申请者及其提供的材料审核评分，根据申请者得分情况由高到低进行排序。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2.2.4</w:t>
      </w:r>
      <w:r>
        <w:rPr>
          <w:rFonts w:hint="eastAsia" w:ascii="仿宋" w:hAnsi="仿宋" w:eastAsia="仿宋" w:cs="仿宋"/>
          <w:sz w:val="28"/>
          <w:szCs w:val="28"/>
        </w:rPr>
        <w:t>评审工作组公布参评者得分5天，范围研究生部学</w:t>
      </w:r>
      <w:r>
        <w:rPr>
          <w:rFonts w:ascii="仿宋" w:hAnsi="仿宋" w:eastAsia="仿宋" w:cs="仿宋"/>
          <w:sz w:val="28"/>
          <w:szCs w:val="28"/>
        </w:rPr>
        <w:t>生本人所在年级</w:t>
      </w:r>
      <w:r>
        <w:rPr>
          <w:rFonts w:hint="eastAsia" w:ascii="仿宋" w:hAnsi="仿宋" w:eastAsia="仿宋" w:cs="仿宋"/>
          <w:sz w:val="28"/>
          <w:szCs w:val="28"/>
        </w:rPr>
        <w:t>。如有异议，可向评审工作组反馈提出，</w:t>
      </w:r>
      <w:r>
        <w:rPr>
          <w:rFonts w:ascii="仿宋" w:hAnsi="仿宋" w:eastAsia="仿宋" w:cs="仿宋"/>
          <w:sz w:val="28"/>
          <w:szCs w:val="28"/>
        </w:rPr>
        <w:t>工作核实</w:t>
      </w:r>
      <w:r>
        <w:rPr>
          <w:rFonts w:hint="eastAsia" w:ascii="仿宋" w:hAnsi="仿宋" w:eastAsia="仿宋" w:cs="仿宋"/>
          <w:sz w:val="28"/>
          <w:szCs w:val="28"/>
        </w:rPr>
        <w:t>。无</w:t>
      </w:r>
      <w:r>
        <w:rPr>
          <w:rFonts w:ascii="仿宋" w:hAnsi="仿宋" w:eastAsia="仿宋" w:cs="仿宋"/>
          <w:sz w:val="28"/>
          <w:szCs w:val="28"/>
        </w:rPr>
        <w:t>异议后</w:t>
      </w:r>
      <w:r>
        <w:rPr>
          <w:rFonts w:hint="eastAsia" w:ascii="仿宋" w:hAnsi="仿宋" w:eastAsia="仿宋" w:cs="仿宋"/>
          <w:sz w:val="28"/>
          <w:szCs w:val="28"/>
        </w:rPr>
        <w:t>确定</w:t>
      </w:r>
      <w:r>
        <w:rPr>
          <w:rFonts w:ascii="仿宋" w:hAnsi="仿宋" w:eastAsia="仿宋" w:cs="仿宋"/>
          <w:sz w:val="28"/>
          <w:szCs w:val="28"/>
        </w:rPr>
        <w:t>初步名单。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2.2.5</w:t>
      </w:r>
      <w:r>
        <w:rPr>
          <w:rFonts w:hint="eastAsia" w:ascii="仿宋" w:hAnsi="仿宋" w:eastAsia="仿宋" w:cs="仿宋"/>
          <w:sz w:val="28"/>
          <w:szCs w:val="28"/>
        </w:rPr>
        <w:t>初步名单提交领导小组进行审定，审定结果在全校范围内进行不少于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个工作日的公示。形成最终评奖结果。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2.2.6</w:t>
      </w:r>
      <w:r>
        <w:rPr>
          <w:rFonts w:hint="eastAsia" w:ascii="仿宋" w:hAnsi="仿宋" w:eastAsia="仿宋" w:cs="仿宋"/>
          <w:sz w:val="28"/>
          <w:szCs w:val="28"/>
        </w:rPr>
        <w:t>公示期间的异议根据《南京体育学院研究生学业奖学金实施办法》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校研</w:t>
      </w:r>
      <w:r>
        <w:rPr>
          <w:rFonts w:hint="eastAsia" w:ascii="仿宋" w:hAnsi="仿宋" w:eastAsia="仿宋" w:cs="仿宋"/>
          <w:sz w:val="28"/>
          <w:szCs w:val="28"/>
        </w:rPr>
        <w:t>发</w:t>
      </w:r>
      <w:r>
        <w:rPr>
          <w:rFonts w:ascii="仿宋" w:hAnsi="仿宋" w:eastAsia="仿宋" w:cs="仿宋"/>
          <w:sz w:val="28"/>
          <w:szCs w:val="28"/>
        </w:rPr>
        <w:t>[20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z w:val="28"/>
          <w:szCs w:val="28"/>
        </w:rPr>
        <w:t>]3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第四章第十二条处理。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2.2.7</w:t>
      </w:r>
      <w:r>
        <w:rPr>
          <w:rFonts w:hint="eastAsia" w:ascii="仿宋" w:hAnsi="仿宋" w:eastAsia="仿宋" w:cs="仿宋"/>
          <w:sz w:val="28"/>
          <w:szCs w:val="28"/>
        </w:rPr>
        <w:t>最终评奖结果经领导小组审批后，由校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</w:t>
      </w:r>
      <w:r>
        <w:rPr>
          <w:rFonts w:hint="eastAsia" w:ascii="仿宋" w:hAnsi="仿宋" w:eastAsia="仿宋" w:cs="仿宋"/>
          <w:sz w:val="28"/>
          <w:szCs w:val="28"/>
        </w:rPr>
        <w:t>财务处执行分配。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纪律及监督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3.1</w:t>
      </w:r>
      <w:r>
        <w:rPr>
          <w:rFonts w:hint="eastAsia" w:ascii="仿宋" w:hAnsi="仿宋" w:eastAsia="仿宋" w:cs="仿宋"/>
          <w:sz w:val="28"/>
          <w:szCs w:val="28"/>
        </w:rPr>
        <w:t>研究生学业奖学金申请者如在评审期间有不诚信行为、提交的材料弄虚作假，取消评选资格，并给予相应的纪律处分。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3.2</w:t>
      </w:r>
      <w:r>
        <w:rPr>
          <w:rFonts w:hint="eastAsia" w:ascii="仿宋" w:hAnsi="仿宋" w:eastAsia="仿宋" w:cs="仿宋"/>
          <w:sz w:val="28"/>
          <w:szCs w:val="28"/>
        </w:rPr>
        <w:t>研究生学业奖学金评审工作组要严格执行《南京体育学院研究生学业奖学金实施办法》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校研</w:t>
      </w:r>
      <w:r>
        <w:rPr>
          <w:rFonts w:hint="eastAsia" w:ascii="仿宋" w:hAnsi="仿宋" w:eastAsia="仿宋" w:cs="仿宋"/>
          <w:sz w:val="28"/>
          <w:szCs w:val="28"/>
        </w:rPr>
        <w:t>发</w:t>
      </w:r>
      <w:r>
        <w:rPr>
          <w:rFonts w:ascii="仿宋" w:hAnsi="仿宋" w:eastAsia="仿宋" w:cs="仿宋"/>
          <w:sz w:val="28"/>
          <w:szCs w:val="28"/>
        </w:rPr>
        <w:t>[20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z w:val="28"/>
          <w:szCs w:val="28"/>
        </w:rPr>
        <w:t>]3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和本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实施</w:t>
      </w:r>
      <w:r>
        <w:rPr>
          <w:rFonts w:hint="eastAsia" w:ascii="仿宋" w:hAnsi="仿宋" w:eastAsia="仿宋" w:cs="仿宋"/>
          <w:sz w:val="28"/>
          <w:szCs w:val="28"/>
        </w:rPr>
        <w:t>细则。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3.3</w:t>
      </w:r>
      <w:r>
        <w:rPr>
          <w:rFonts w:hint="eastAsia" w:ascii="仿宋" w:hAnsi="仿宋" w:eastAsia="仿宋" w:cs="仿宋"/>
          <w:sz w:val="28"/>
          <w:szCs w:val="28"/>
        </w:rPr>
        <w:t>评审过程接受院纪检监察部门监督。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奖励及等级划分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4.1</w:t>
      </w:r>
      <w:r>
        <w:rPr>
          <w:rFonts w:hint="eastAsia" w:ascii="仿宋" w:hAnsi="仿宋" w:eastAsia="仿宋" w:cs="仿宋"/>
          <w:sz w:val="28"/>
          <w:szCs w:val="28"/>
        </w:rPr>
        <w:t>奖励分级及标准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基本方法：根据按年级进行专业切块，名额比例分配；依评分高低排序，划分等级。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等级及奖金：研一的学业奖分两等，一等奖占人数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z w:val="28"/>
          <w:szCs w:val="28"/>
        </w:rPr>
        <w:t>5%</w:t>
      </w:r>
      <w:r>
        <w:rPr>
          <w:rFonts w:hint="eastAsia" w:ascii="仿宋" w:hAnsi="仿宋" w:eastAsia="仿宋" w:cs="仿宋"/>
          <w:sz w:val="28"/>
          <w:szCs w:val="28"/>
        </w:rPr>
        <w:t>，奖金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z w:val="28"/>
          <w:szCs w:val="28"/>
        </w:rPr>
        <w:t>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人；二等奖占人数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</w:rPr>
        <w:t>5%</w:t>
      </w:r>
      <w:r>
        <w:rPr>
          <w:rFonts w:hint="eastAsia" w:ascii="仿宋" w:hAnsi="仿宋" w:eastAsia="仿宋" w:cs="仿宋"/>
          <w:sz w:val="28"/>
          <w:szCs w:val="28"/>
        </w:rPr>
        <w:t>，奖金</w:t>
      </w:r>
      <w:r>
        <w:rPr>
          <w:rFonts w:ascii="仿宋" w:hAnsi="仿宋" w:eastAsia="仿宋" w:cs="仿宋"/>
          <w:sz w:val="28"/>
          <w:szCs w:val="28"/>
        </w:rPr>
        <w:t>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人。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研二和研三的学业奖分三等，一等奖占人数</w:t>
      </w:r>
      <w:r>
        <w:rPr>
          <w:rFonts w:ascii="仿宋" w:hAnsi="仿宋" w:eastAsia="仿宋" w:cs="仿宋"/>
          <w:color w:val="auto"/>
          <w:sz w:val="28"/>
          <w:szCs w:val="28"/>
        </w:rPr>
        <w:t>20%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，奖金</w:t>
      </w:r>
      <w:r>
        <w:rPr>
          <w:rFonts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color w:val="auto"/>
          <w:sz w:val="28"/>
          <w:szCs w:val="28"/>
        </w:rPr>
        <w:t>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</w:t>
      </w:r>
      <w:r>
        <w:rPr>
          <w:rFonts w:ascii="仿宋" w:hAnsi="仿宋" w:eastAsia="仿宋" w:cs="仿宋"/>
          <w:color w:val="auto"/>
          <w:sz w:val="28"/>
          <w:szCs w:val="28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人；二等奖占人数</w:t>
      </w:r>
      <w:r>
        <w:rPr>
          <w:rFonts w:ascii="仿宋" w:hAnsi="仿宋" w:eastAsia="仿宋" w:cs="仿宋"/>
          <w:color w:val="auto"/>
          <w:sz w:val="28"/>
          <w:szCs w:val="28"/>
        </w:rPr>
        <w:t>50%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，奖金</w:t>
      </w:r>
      <w:r>
        <w:rPr>
          <w:rFonts w:ascii="仿宋" w:hAnsi="仿宋" w:eastAsia="仿宋" w:cs="仿宋"/>
          <w:color w:val="auto"/>
          <w:sz w:val="28"/>
          <w:szCs w:val="28"/>
        </w:rPr>
        <w:t>9000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</w:t>
      </w:r>
      <w:r>
        <w:rPr>
          <w:rFonts w:ascii="仿宋" w:hAnsi="仿宋" w:eastAsia="仿宋" w:cs="仿宋"/>
          <w:color w:val="auto"/>
          <w:sz w:val="28"/>
          <w:szCs w:val="28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人；三等奖占人数</w:t>
      </w:r>
      <w:r>
        <w:rPr>
          <w:rFonts w:ascii="仿宋" w:hAnsi="仿宋" w:eastAsia="仿宋" w:cs="仿宋"/>
          <w:color w:val="auto"/>
          <w:sz w:val="28"/>
          <w:szCs w:val="28"/>
        </w:rPr>
        <w:t>30%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，奖金</w:t>
      </w:r>
      <w:r>
        <w:rPr>
          <w:rFonts w:ascii="仿宋" w:hAnsi="仿宋" w:eastAsia="仿宋" w:cs="仿宋"/>
          <w:color w:val="auto"/>
          <w:sz w:val="28"/>
          <w:szCs w:val="28"/>
        </w:rPr>
        <w:t>7000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</w:t>
      </w:r>
      <w:r>
        <w:rPr>
          <w:rFonts w:ascii="仿宋" w:hAnsi="仿宋" w:eastAsia="仿宋" w:cs="仿宋"/>
          <w:color w:val="auto"/>
          <w:sz w:val="28"/>
          <w:szCs w:val="28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研一的学生设有鼓励奖，奖励</w:t>
      </w:r>
      <w:r>
        <w:rPr>
          <w:rFonts w:ascii="仿宋" w:hAnsi="仿宋" w:eastAsia="仿宋" w:cs="仿宋"/>
          <w:color w:val="000000"/>
          <w:sz w:val="28"/>
          <w:szCs w:val="28"/>
        </w:rPr>
        <w:t>1000-2000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</w:t>
      </w:r>
      <w:r>
        <w:rPr>
          <w:rFonts w:ascii="仿宋" w:hAnsi="仿宋" w:eastAsia="仿宋" w:cs="仿宋"/>
          <w:color w:val="00000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生，</w:t>
      </w:r>
      <w:r>
        <w:rPr>
          <w:rFonts w:hint="eastAsia" w:ascii="仿宋" w:hAnsi="仿宋" w:eastAsia="仿宋" w:cs="仿宋"/>
          <w:sz w:val="28"/>
          <w:szCs w:val="28"/>
        </w:rPr>
        <w:t>共</w:t>
      </w:r>
      <w:r>
        <w:rPr>
          <w:rFonts w:ascii="仿宋" w:hAnsi="仿宋" w:eastAsia="仿宋" w:cs="仿宋"/>
          <w:sz w:val="28"/>
          <w:szCs w:val="28"/>
        </w:rPr>
        <w:t>10000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0" w:name="OLE_LINK1"/>
      <w:r>
        <w:rPr>
          <w:rFonts w:ascii="仿宋" w:hAnsi="仿宋" w:eastAsia="仿宋" w:cs="仿宋"/>
          <w:color w:val="000000"/>
          <w:sz w:val="28"/>
          <w:szCs w:val="28"/>
        </w:rPr>
        <w:t>4.2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等级划分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4.2.1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研一</w:t>
      </w:r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的学生分级方法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各专业内一等奖名额为该专业录取人数</w:t>
      </w:r>
      <w:r>
        <w:rPr>
          <w:rFonts w:ascii="仿宋" w:hAnsi="仿宋" w:eastAsia="仿宋" w:cs="仿宋"/>
          <w:color w:val="000000"/>
          <w:sz w:val="28"/>
          <w:szCs w:val="28"/>
        </w:rPr>
        <w:t>x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45</w:t>
      </w:r>
      <w:r>
        <w:rPr>
          <w:rFonts w:ascii="仿宋" w:hAnsi="仿宋" w:eastAsia="仿宋" w:cs="仿宋"/>
          <w:color w:val="000000"/>
          <w:sz w:val="28"/>
          <w:szCs w:val="28"/>
        </w:rPr>
        <w:t>%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（四舍五入），二等奖名额为该专业录取人数</w:t>
      </w:r>
      <w:r>
        <w:rPr>
          <w:rFonts w:ascii="仿宋" w:hAnsi="仿宋" w:eastAsia="仿宋" w:cs="仿宋"/>
          <w:color w:val="000000"/>
          <w:sz w:val="28"/>
          <w:szCs w:val="28"/>
        </w:rPr>
        <w:t>x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55</w:t>
      </w:r>
      <w:r>
        <w:rPr>
          <w:rFonts w:ascii="仿宋" w:hAnsi="仿宋" w:eastAsia="仿宋" w:cs="仿宋"/>
          <w:color w:val="000000"/>
          <w:sz w:val="28"/>
          <w:szCs w:val="28"/>
        </w:rPr>
        <w:t>%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（四舍五入）。专业内排序依</w:t>
      </w:r>
      <w:r>
        <w:rPr>
          <w:rFonts w:ascii="仿宋" w:hAnsi="仿宋" w:eastAsia="仿宋" w:cs="仿宋"/>
          <w:color w:val="000000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入学总成绩进行排名，由高到低取符合奖励等级的名次；如出现相同成绩不能区分时，此相同成绩间以初试总成绩的高低区分；如仍不能区分，则比较英语</w:t>
      </w:r>
      <w:r>
        <w:rPr>
          <w:rFonts w:ascii="仿宋" w:hAnsi="仿宋" w:eastAsia="仿宋" w:cs="仿宋"/>
          <w:color w:val="000000"/>
          <w:sz w:val="28"/>
          <w:szCs w:val="28"/>
        </w:rPr>
        <w:t>+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政治成绩区分。根据名额分配，确定获奖名单和等级。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</w:rPr>
        <w:t>推免生不参加成绩排名，直接获一等奖学金，占各专业比例名额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鼓励奖对以下情况发放：家庭困难（须提供可靠证据）、见义勇为或其它突出事迹（须提供可靠证据）、生源鼓励及其它特殊情况</w:t>
      </w:r>
      <w:r>
        <w:rPr>
          <w:rFonts w:ascii="仿宋" w:hAnsi="仿宋" w:eastAsia="仿宋" w:cs="仿宋"/>
          <w:color w:val="000000"/>
          <w:sz w:val="28"/>
          <w:szCs w:val="28"/>
        </w:rPr>
        <w:t>(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提供可靠证据</w:t>
      </w:r>
      <w:r>
        <w:rPr>
          <w:rFonts w:ascii="仿宋" w:hAnsi="仿宋" w:eastAsia="仿宋" w:cs="仿宋"/>
          <w:color w:val="000000"/>
          <w:sz w:val="28"/>
          <w:szCs w:val="28"/>
        </w:rPr>
        <w:t>)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4.2.2</w:t>
      </w:r>
      <w:r>
        <w:rPr>
          <w:rFonts w:hint="eastAsia" w:ascii="仿宋" w:hAnsi="仿宋" w:eastAsia="仿宋" w:cs="仿宋"/>
          <w:sz w:val="28"/>
          <w:szCs w:val="28"/>
        </w:rPr>
        <w:t>研二和研三的学生分级方法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各专业内一等奖名额为该专业参评人数</w:t>
      </w:r>
      <w:r>
        <w:rPr>
          <w:rFonts w:ascii="仿宋" w:hAnsi="仿宋" w:eastAsia="仿宋" w:cs="仿宋"/>
          <w:sz w:val="28"/>
          <w:szCs w:val="28"/>
        </w:rPr>
        <w:t>x20%</w:t>
      </w:r>
      <w:r>
        <w:rPr>
          <w:rFonts w:hint="eastAsia" w:ascii="仿宋" w:hAnsi="仿宋" w:eastAsia="仿宋" w:cs="仿宋"/>
          <w:sz w:val="28"/>
          <w:szCs w:val="28"/>
        </w:rPr>
        <w:t>（四舍五入），二等奖名额为该专业参评人数</w:t>
      </w:r>
      <w:r>
        <w:rPr>
          <w:rFonts w:ascii="仿宋" w:hAnsi="仿宋" w:eastAsia="仿宋" w:cs="仿宋"/>
          <w:sz w:val="28"/>
          <w:szCs w:val="28"/>
        </w:rPr>
        <w:t>x50%</w:t>
      </w:r>
      <w:r>
        <w:rPr>
          <w:rFonts w:hint="eastAsia" w:ascii="仿宋" w:hAnsi="仿宋" w:eastAsia="仿宋" w:cs="仿宋"/>
          <w:sz w:val="28"/>
          <w:szCs w:val="28"/>
        </w:rPr>
        <w:t>（四舍五入），三等奖名额为该专业参评人数</w:t>
      </w:r>
      <w:r>
        <w:rPr>
          <w:rFonts w:ascii="仿宋" w:hAnsi="仿宋" w:eastAsia="仿宋" w:cs="仿宋"/>
          <w:sz w:val="28"/>
          <w:szCs w:val="28"/>
        </w:rPr>
        <w:t>x30%</w:t>
      </w:r>
      <w:r>
        <w:rPr>
          <w:rFonts w:hint="eastAsia" w:ascii="仿宋" w:hAnsi="仿宋" w:eastAsia="仿宋" w:cs="仿宋"/>
          <w:sz w:val="28"/>
          <w:szCs w:val="28"/>
        </w:rPr>
        <w:t>（四舍五入）。专业内学生的排序依据总评分进行，评分包括“学习成绩”“学习态度”“学术成果”“专业成绩”“社会实践”等五个方面，进行加权后计总和。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各考核项目计分权重如下：</w:t>
      </w:r>
    </w:p>
    <w:p>
      <w:pPr>
        <w:spacing w:line="540" w:lineRule="exact"/>
        <w:ind w:left="918" w:leftChars="304" w:hanging="280" w:hangingChars="100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40" w:lineRule="exact"/>
        <w:ind w:left="918" w:leftChars="304" w:hanging="280" w:hanging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ascii="仿宋" w:hAnsi="仿宋" w:eastAsia="仿宋" w:cs="仿宋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sz w:val="28"/>
          <w:szCs w:val="28"/>
        </w:rPr>
        <w:t>研究生二年级各类考核项目权重（</w:t>
      </w:r>
      <w:r>
        <w:rPr>
          <w:rFonts w:ascii="仿宋" w:hAnsi="仿宋" w:eastAsia="仿宋" w:cs="仿宋"/>
          <w:sz w:val="28"/>
          <w:szCs w:val="28"/>
        </w:rPr>
        <w:t>Wi</w:t>
      </w:r>
      <w:r>
        <w:rPr>
          <w:rFonts w:hint="eastAsia" w:ascii="仿宋" w:hAnsi="仿宋" w:eastAsia="仿宋" w:cs="仿宋"/>
          <w:sz w:val="28"/>
          <w:szCs w:val="28"/>
        </w:rPr>
        <w:t>）表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计量单位</w:t>
      </w:r>
      <w:r>
        <w:rPr>
          <w:rFonts w:ascii="仿宋" w:hAnsi="仿宋" w:eastAsia="仿宋" w:cs="仿宋"/>
          <w:sz w:val="28"/>
          <w:szCs w:val="28"/>
        </w:rPr>
        <w:t>%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310"/>
        <w:gridCol w:w="1217"/>
        <w:gridCol w:w="1411"/>
        <w:gridCol w:w="1411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61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类别</w:t>
            </w:r>
          </w:p>
          <w:p>
            <w:pPr>
              <w:spacing w:line="540" w:lineRule="exac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考核项目</w:t>
            </w:r>
          </w:p>
        </w:tc>
        <w:tc>
          <w:tcPr>
            <w:tcW w:w="13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学习成绩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S1</w:t>
            </w:r>
          </w:p>
        </w:tc>
        <w:tc>
          <w:tcPr>
            <w:tcW w:w="121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学习态度S2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学术成果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S3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专业成绩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S4</w:t>
            </w:r>
          </w:p>
        </w:tc>
        <w:tc>
          <w:tcPr>
            <w:tcW w:w="141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社会实践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学术学位研究生</w:t>
            </w:r>
          </w:p>
        </w:tc>
        <w:tc>
          <w:tcPr>
            <w:tcW w:w="13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40</w:t>
            </w:r>
          </w:p>
        </w:tc>
        <w:tc>
          <w:tcPr>
            <w:tcW w:w="121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41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专业学位研究生</w:t>
            </w:r>
          </w:p>
        </w:tc>
        <w:tc>
          <w:tcPr>
            <w:tcW w:w="13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121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41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</w:tr>
    </w:tbl>
    <w:p>
      <w:pPr>
        <w:spacing w:line="540" w:lineRule="exact"/>
        <w:ind w:left="918" w:leftChars="304" w:hanging="280" w:hangingChars="1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总分</w:t>
      </w:r>
      <w:r>
        <w:rPr>
          <w:rFonts w:ascii="仿宋" w:hAnsi="仿宋" w:eastAsia="仿宋" w:cs="仿宋"/>
          <w:sz w:val="28"/>
          <w:szCs w:val="28"/>
        </w:rPr>
        <w:t>S=W1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S1+W2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S2+ W3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S3+W4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S4+W5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S5</w:t>
      </w:r>
    </w:p>
    <w:p>
      <w:pPr>
        <w:spacing w:line="540" w:lineRule="exact"/>
        <w:ind w:left="918" w:leftChars="304" w:hanging="280" w:hangingChars="100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ind w:left="918" w:leftChars="304" w:hanging="280" w:hanging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ascii="仿宋" w:hAnsi="仿宋" w:eastAsia="仿宋" w:cs="仿宋"/>
          <w:sz w:val="28"/>
          <w:szCs w:val="28"/>
        </w:rPr>
        <w:t xml:space="preserve">2 </w:t>
      </w:r>
      <w:r>
        <w:rPr>
          <w:rFonts w:hint="eastAsia" w:ascii="仿宋" w:hAnsi="仿宋" w:eastAsia="仿宋" w:cs="仿宋"/>
          <w:sz w:val="28"/>
          <w:szCs w:val="28"/>
        </w:rPr>
        <w:t>研究生三年级各类考核项目权重（</w:t>
      </w:r>
      <w:r>
        <w:rPr>
          <w:rFonts w:ascii="仿宋" w:hAnsi="仿宋" w:eastAsia="仿宋" w:cs="仿宋"/>
          <w:sz w:val="28"/>
          <w:szCs w:val="28"/>
        </w:rPr>
        <w:t>Wi</w:t>
      </w:r>
      <w:r>
        <w:rPr>
          <w:rFonts w:hint="eastAsia" w:ascii="仿宋" w:hAnsi="仿宋" w:eastAsia="仿宋" w:cs="仿宋"/>
          <w:sz w:val="28"/>
          <w:szCs w:val="28"/>
        </w:rPr>
        <w:t>）表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计量单位</w:t>
      </w:r>
      <w:r>
        <w:rPr>
          <w:rFonts w:ascii="仿宋" w:hAnsi="仿宋" w:eastAsia="仿宋" w:cs="仿宋"/>
          <w:sz w:val="28"/>
          <w:szCs w:val="28"/>
        </w:rPr>
        <w:t>%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20"/>
        <w:gridCol w:w="117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71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  <w:p>
            <w:pPr>
              <w:spacing w:line="54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考核项目</w:t>
            </w:r>
          </w:p>
        </w:tc>
        <w:tc>
          <w:tcPr>
            <w:tcW w:w="132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学习成绩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S1</w:t>
            </w:r>
          </w:p>
        </w:tc>
        <w:tc>
          <w:tcPr>
            <w:tcW w:w="11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学习态度S2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学术成果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S3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专业成绩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S4</w:t>
            </w:r>
          </w:p>
        </w:tc>
        <w:tc>
          <w:tcPr>
            <w:tcW w:w="142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社会实践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学术学位研究生</w:t>
            </w:r>
          </w:p>
        </w:tc>
        <w:tc>
          <w:tcPr>
            <w:tcW w:w="132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142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</w:tr>
    </w:tbl>
    <w:p>
      <w:pPr>
        <w:spacing w:line="540" w:lineRule="exact"/>
        <w:ind w:left="918" w:leftChars="304" w:hanging="280" w:hanging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总分</w:t>
      </w:r>
      <w:r>
        <w:rPr>
          <w:rFonts w:ascii="仿宋" w:hAnsi="仿宋" w:eastAsia="仿宋" w:cs="仿宋"/>
          <w:sz w:val="28"/>
          <w:szCs w:val="28"/>
        </w:rPr>
        <w:t>S=W1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S1+W2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S2+w3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S3+W4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S4+W5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S5</w:t>
      </w:r>
    </w:p>
    <w:p>
      <w:pPr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40" w:lineRule="exac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表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3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研究生学业奖学金评分表</w:t>
      </w:r>
    </w:p>
    <w:tbl>
      <w:tblPr>
        <w:tblStyle w:val="6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2"/>
        <w:gridCol w:w="1605"/>
        <w:gridCol w:w="4210"/>
        <w:gridCol w:w="4534"/>
        <w:gridCol w:w="1984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0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评价项目</w:t>
            </w:r>
          </w:p>
        </w:tc>
        <w:tc>
          <w:tcPr>
            <w:tcW w:w="160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评价方法</w:t>
            </w:r>
          </w:p>
        </w:tc>
        <w:tc>
          <w:tcPr>
            <w:tcW w:w="42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150"/>
                <w:tab w:val="center" w:pos="2018"/>
              </w:tabs>
              <w:autoSpaceDN w:val="0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计分方法</w:t>
            </w:r>
          </w:p>
        </w:tc>
        <w:tc>
          <w:tcPr>
            <w:tcW w:w="4534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说明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ind w:right="-107" w:rightChars="-51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计算公式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ind w:right="-107" w:rightChars="-51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</w:t>
            </w:r>
          </w:p>
        </w:tc>
        <w:tc>
          <w:tcPr>
            <w:tcW w:w="70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  <w:b/>
                <w:bCs/>
              </w:rPr>
            </w:pPr>
          </w:p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课程成绩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S1</w:t>
            </w:r>
          </w:p>
        </w:tc>
        <w:tc>
          <w:tcPr>
            <w:tcW w:w="160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每门课程的学分绩点总和</w:t>
            </w:r>
          </w:p>
        </w:tc>
        <w:tc>
          <w:tcPr>
            <w:tcW w:w="421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z w:val="21"/>
                <w:szCs w:val="21"/>
              </w:rPr>
              <w:t>0-60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分绩点为</w:t>
            </w:r>
            <w:r>
              <w:rPr>
                <w:rFonts w:ascii="仿宋" w:hAnsi="仿宋" w:eastAsia="仿宋" w:cs="仿宋"/>
                <w:sz w:val="21"/>
                <w:szCs w:val="21"/>
              </w:rPr>
              <w:t>0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z w:val="21"/>
                <w:szCs w:val="21"/>
              </w:rPr>
              <w:t>60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分以上，每门课程的成绩绩点：（该课程成绩</w:t>
            </w:r>
            <w:r>
              <w:rPr>
                <w:rFonts w:ascii="仿宋" w:hAnsi="仿宋" w:eastAsia="仿宋" w:cs="仿宋"/>
                <w:sz w:val="21"/>
                <w:szCs w:val="21"/>
              </w:rPr>
              <w:t>-50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  <w:r>
              <w:rPr>
                <w:rFonts w:ascii="仿宋" w:hAnsi="仿宋" w:eastAsia="仿宋" w:cs="仿宋"/>
                <w:sz w:val="21"/>
                <w:szCs w:val="21"/>
              </w:rPr>
              <w:t>/10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、每门课程的学分绩点：该课程的成绩绩点×该课程学分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、最后得分为：每门学分绩点总和</w:t>
            </w:r>
          </w:p>
        </w:tc>
        <w:tc>
          <w:tcPr>
            <w:tcW w:w="4534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不含专业课。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转换认定课程，见注</w:t>
            </w: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W1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ascii="仿宋" w:hAnsi="仿宋" w:eastAsia="仿宋" w:cs="仿宋"/>
                <w:sz w:val="21"/>
                <w:szCs w:val="21"/>
              </w:rPr>
              <w:t>S1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</w:t>
            </w:r>
          </w:p>
        </w:tc>
        <w:tc>
          <w:tcPr>
            <w:tcW w:w="70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  <w:b/>
                <w:bCs/>
              </w:rPr>
            </w:pPr>
          </w:p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学习态度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S2</w:t>
            </w:r>
          </w:p>
        </w:tc>
        <w:tc>
          <w:tcPr>
            <w:tcW w:w="160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课堂、各类研究生部要求参加的：学术讲座、学术活动、会议、活动的出勤率</w:t>
            </w:r>
          </w:p>
        </w:tc>
        <w:tc>
          <w:tcPr>
            <w:tcW w:w="42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</w:t>
            </w:r>
            <w:r>
              <w:rPr>
                <w:rFonts w:ascii="仿宋" w:hAnsi="仿宋" w:eastAsia="仿宋" w:cs="仿宋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分，采取倒扣制，无故缺勤一次扣</w:t>
            </w:r>
            <w:r>
              <w:rPr>
                <w:rFonts w:ascii="仿宋" w:hAnsi="仿宋" w:eastAsia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分；课堂事假、迟到、早退扣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扣完为止。</w:t>
            </w:r>
          </w:p>
        </w:tc>
        <w:tc>
          <w:tcPr>
            <w:tcW w:w="4534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、课堂出勤（以任课教师考勤表为准）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、学术讲座出勤（研究生部考勤）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、研究生部召开的会议（研究生部考勤）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、研究生部组织的活动（研究生部考勤）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、要求参加的开题、论文答辩（各系考勤）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W2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ascii="仿宋" w:hAnsi="仿宋" w:eastAsia="仿宋" w:cs="仿宋"/>
                <w:sz w:val="21"/>
                <w:szCs w:val="21"/>
              </w:rPr>
              <w:t>S2</w:t>
            </w:r>
          </w:p>
          <w:p>
            <w:pPr>
              <w:autoSpaceDN w:val="0"/>
              <w:spacing w:before="100" w:beforeAutospacing="1" w:after="100" w:afterAutospacing="1" w:line="240" w:lineRule="atLeast"/>
              <w:ind w:right="-107" w:rightChars="-51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S2=100-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无故缺勤次数×</w:t>
            </w:r>
            <w:r>
              <w:rPr>
                <w:rFonts w:ascii="仿宋" w:hAnsi="仿宋" w:eastAsia="仿宋" w:cs="仿宋"/>
                <w:sz w:val="21"/>
                <w:szCs w:val="21"/>
              </w:rPr>
              <w:t>10-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（事假</w:t>
            </w:r>
            <w:r>
              <w:rPr>
                <w:rFonts w:ascii="仿宋" w:hAnsi="仿宋" w:eastAsia="仿宋" w:cs="仿宋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迟到</w:t>
            </w:r>
            <w:r>
              <w:rPr>
                <w:rFonts w:ascii="仿宋" w:hAnsi="仿宋" w:eastAsia="仿宋" w:cs="仿宋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早退次数）×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b/>
                <w:bCs/>
              </w:rPr>
            </w:pPr>
          </w:p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科研成果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S3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、论文发表</w:t>
            </w:r>
          </w:p>
        </w:tc>
        <w:tc>
          <w:tcPr>
            <w:tcW w:w="421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在省级指定刊物上每公开发表一篇论文加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分；核心期刊：南大核心刊每公开发表一篇论文加</w:t>
            </w:r>
            <w:r>
              <w:rPr>
                <w:rFonts w:ascii="仿宋" w:hAnsi="仿宋" w:eastAsia="仿宋" w:cs="仿宋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分；北大核刊加</w:t>
            </w:r>
            <w:r>
              <w:rPr>
                <w:rFonts w:ascii="仿宋" w:hAnsi="仿宋" w:eastAsia="仿宋" w:cs="仿宋"/>
                <w:sz w:val="21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SCI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刊物发表</w:t>
            </w:r>
            <w:r>
              <w:rPr>
                <w:rFonts w:ascii="仿宋" w:hAnsi="仿宋" w:eastAsia="仿宋" w:cs="仿宋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分、</w:t>
            </w:r>
            <w:r>
              <w:rPr>
                <w:rFonts w:ascii="仿宋" w:hAnsi="仿宋" w:eastAsia="仿宋" w:cs="仿宋"/>
                <w:sz w:val="21"/>
                <w:szCs w:val="21"/>
              </w:rPr>
              <w:t>EI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刊物发表</w:t>
            </w:r>
            <w:r>
              <w:rPr>
                <w:rFonts w:ascii="仿宋" w:hAnsi="仿宋" w:eastAsia="仿宋" w:cs="仿宋"/>
                <w:sz w:val="21"/>
                <w:szCs w:val="21"/>
              </w:rPr>
              <w:t>80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出版专著</w:t>
            </w:r>
            <w:r>
              <w:rPr>
                <w:rFonts w:ascii="仿宋" w:hAnsi="仿宋" w:eastAsia="仿宋" w:cs="仿宋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分、出版软件</w:t>
            </w:r>
            <w:r>
              <w:rPr>
                <w:rFonts w:ascii="仿宋" w:hAnsi="仿宋" w:eastAsia="仿宋" w:cs="仿宋"/>
                <w:sz w:val="21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4534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在省级指定刊物上发表学术论文</w:t>
            </w: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篇后，在此基础上每多发一篇加分。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只加第一作者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最高加分不超过</w:t>
            </w:r>
            <w:r>
              <w:rPr>
                <w:rFonts w:ascii="仿宋" w:hAnsi="仿宋" w:eastAsia="仿宋" w:cs="仿宋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指定刊物目录由研究生提供，不作附件，可索取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专著字数不少于</w:t>
            </w:r>
            <w:r>
              <w:rPr>
                <w:rFonts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万。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W3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ascii="仿宋" w:hAnsi="仿宋" w:eastAsia="仿宋" w:cs="仿宋"/>
                <w:sz w:val="21"/>
                <w:szCs w:val="21"/>
              </w:rPr>
              <w:t>S3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S3=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论文发表</w:t>
            </w:r>
            <w:r>
              <w:rPr>
                <w:rFonts w:ascii="仿宋" w:hAnsi="仿宋" w:eastAsia="仿宋" w:cs="仿宋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专利</w:t>
            </w:r>
            <w:r>
              <w:rPr>
                <w:rFonts w:ascii="仿宋" w:hAnsi="仿宋" w:eastAsia="仿宋" w:cs="仿宋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学术交流</w:t>
            </w:r>
            <w:r>
              <w:rPr>
                <w:rFonts w:ascii="仿宋" w:hAnsi="仿宋" w:eastAsia="仿宋" w:cs="仿宋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课题研究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、专利</w:t>
            </w:r>
          </w:p>
        </w:tc>
        <w:tc>
          <w:tcPr>
            <w:tcW w:w="421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获得国家发明专利的一次性给予加分</w:t>
            </w:r>
            <w:r>
              <w:rPr>
                <w:rFonts w:ascii="仿宋" w:hAnsi="仿宋" w:eastAsia="仿宋" w:cs="仿宋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分；实用新型专利的一次性给予加分</w:t>
            </w:r>
            <w:r>
              <w:rPr>
                <w:rFonts w:ascii="仿宋" w:hAnsi="仿宋" w:eastAsia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45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只加第一申请人。最高加分不超过</w:t>
            </w:r>
            <w:r>
              <w:rPr>
                <w:rFonts w:ascii="仿宋" w:hAnsi="仿宋" w:eastAsia="仿宋" w:cs="仿宋"/>
                <w:sz w:val="21"/>
                <w:szCs w:val="21"/>
              </w:rPr>
              <w:t>80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、学术交流</w:t>
            </w:r>
          </w:p>
        </w:tc>
        <w:tc>
          <w:tcPr>
            <w:tcW w:w="42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学科一级学会最高奖（一等奖或大会报告）并参会</w:t>
            </w:r>
            <w:r>
              <w:rPr>
                <w:rFonts w:ascii="仿宋" w:hAnsi="仿宋" w:eastAsia="仿宋" w:cs="仿宋"/>
                <w:sz w:val="21"/>
                <w:szCs w:val="21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分；一级学会二等奖（二等奖或分会场报告）并参会加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分；一级学会录用并参会加</w:t>
            </w: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分；二级学会一等奖或大会报告并参会加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分；二级学会录用并参会加</w:t>
            </w:r>
            <w:r>
              <w:rPr>
                <w:rFonts w:ascii="仿宋" w:hAnsi="仿宋" w:eastAsia="仿宋" w:cs="仿宋"/>
                <w:sz w:val="21"/>
                <w:szCs w:val="21"/>
              </w:rPr>
              <w:t>0.5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分。其它由研究生部组织的征文或论文交流，每篇</w:t>
            </w: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</w:t>
            </w:r>
          </w:p>
        </w:tc>
        <w:tc>
          <w:tcPr>
            <w:tcW w:w="4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须参会。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只加第一作者。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如参加多次学术交流只加得分高前</w:t>
            </w: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项。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该类最高得分不超过</w:t>
            </w:r>
            <w:r>
              <w:rPr>
                <w:rFonts w:ascii="仿宋" w:hAnsi="仿宋" w:eastAsia="仿宋" w:cs="仿宋"/>
                <w:sz w:val="21"/>
                <w:szCs w:val="21"/>
              </w:rPr>
              <w:t>80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right="928" w:rightChars="442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  <w:tcBorders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、课题研究</w:t>
            </w:r>
          </w:p>
        </w:tc>
        <w:tc>
          <w:tcPr>
            <w:tcW w:w="4210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国家级课题申请成功</w:t>
            </w:r>
            <w:r>
              <w:rPr>
                <w:rFonts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分，结题</w:t>
            </w:r>
            <w:r>
              <w:rPr>
                <w:rFonts w:ascii="仿宋" w:hAnsi="仿宋" w:eastAsia="仿宋" w:cs="仿宋"/>
                <w:sz w:val="21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分；省级课题申请成功加</w:t>
            </w:r>
            <w:r>
              <w:rPr>
                <w:rFonts w:ascii="仿宋" w:hAnsi="仿宋" w:eastAsia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分，结题</w:t>
            </w:r>
            <w:r>
              <w:rPr>
                <w:rFonts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分；院级课题申请成功</w:t>
            </w: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分，结题</w:t>
            </w: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</w:t>
            </w:r>
          </w:p>
        </w:tc>
        <w:tc>
          <w:tcPr>
            <w:tcW w:w="453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仅限第一作者。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right="928" w:rightChars="442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4</w:t>
            </w:r>
          </w:p>
        </w:tc>
        <w:tc>
          <w:tcPr>
            <w:tcW w:w="70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专业成绩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S4</w:t>
            </w:r>
          </w:p>
        </w:tc>
        <w:tc>
          <w:tcPr>
            <w:tcW w:w="160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专业课成绩</w:t>
            </w:r>
          </w:p>
        </w:tc>
        <w:tc>
          <w:tcPr>
            <w:tcW w:w="42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专业课程由培养计划认定，百分制。</w:t>
            </w:r>
          </w:p>
        </w:tc>
        <w:tc>
          <w:tcPr>
            <w:tcW w:w="4534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导师在给出学生成绩时，应提交按照培养计划要求的相关专业课上课证明资料（试卷，作业，课堂笔记及考勤记录），如不提交相关材料，所提供的该生专业分数无效。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right="928" w:rightChars="442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W4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ascii="仿宋" w:hAnsi="仿宋" w:eastAsia="仿宋" w:cs="仿宋"/>
                <w:sz w:val="21"/>
                <w:szCs w:val="21"/>
              </w:rPr>
              <w:t>S4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社会实践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S5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各级各类比赛获奖</w:t>
            </w:r>
          </w:p>
        </w:tc>
        <w:tc>
          <w:tcPr>
            <w:tcW w:w="4210" w:type="dxa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获得国际级大赛（参赛国家不少于</w:t>
            </w: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国）前三名（不含团体）一次性给予加</w:t>
            </w:r>
            <w:r>
              <w:rPr>
                <w:rFonts w:ascii="仿宋" w:hAnsi="仿宋" w:eastAsia="仿宋" w:cs="仿宋"/>
                <w:sz w:val="21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分、</w:t>
            </w:r>
            <w:r>
              <w:rPr>
                <w:rFonts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分、</w:t>
            </w:r>
            <w:r>
              <w:rPr>
                <w:rFonts w:ascii="仿宋" w:hAnsi="仿宋" w:eastAsia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分，团体项目计分依次减半；获得国家级大赛（参加的省份不少于</w:t>
            </w: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省）前三名（不含团体）一次性给予加</w:t>
            </w:r>
            <w:r>
              <w:rPr>
                <w:rFonts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分、</w:t>
            </w:r>
            <w:r>
              <w:rPr>
                <w:rFonts w:ascii="仿宋" w:hAnsi="仿宋" w:eastAsia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分、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分，团体项目计分依次减半。获得省、市大赛（参赛队伍不少</w:t>
            </w: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队）前三名（不含团体）一次性给予加</w:t>
            </w:r>
            <w:r>
              <w:rPr>
                <w:rFonts w:ascii="仿宋" w:hAnsi="仿宋" w:eastAsia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分、</w:t>
            </w: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分、</w:t>
            </w: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分，团体项目计分依次减半。获得院级比赛（参赛队伍不少</w:t>
            </w: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）前三名（不含团体）一次性给予加</w:t>
            </w: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分、</w:t>
            </w: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分、</w:t>
            </w: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分，团体项目计分依次减半。</w:t>
            </w:r>
          </w:p>
        </w:tc>
        <w:tc>
          <w:tcPr>
            <w:tcW w:w="4534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最高加分不超过</w:t>
            </w:r>
            <w:r>
              <w:rPr>
                <w:rFonts w:ascii="仿宋" w:hAnsi="仿宋" w:eastAsia="仿宋" w:cs="仿宋"/>
                <w:sz w:val="21"/>
                <w:szCs w:val="21"/>
              </w:rPr>
              <w:t>60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仅指官方主办的比赛。教育部、国家体育总局、省各厅局级主办的各类比赛。</w:t>
            </w:r>
          </w:p>
          <w:p>
            <w:pPr>
              <w:widowControl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需提供能秩序册等相关资料。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W5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ascii="仿宋" w:hAnsi="仿宋" w:eastAsia="仿宋" w:cs="仿宋"/>
                <w:sz w:val="21"/>
                <w:szCs w:val="21"/>
              </w:rPr>
              <w:t>S5</w:t>
            </w:r>
          </w:p>
          <w:p>
            <w:pPr>
              <w:autoSpaceDN w:val="0"/>
              <w:spacing w:beforeAutospacing="1" w:afterAutospacing="1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S5=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各级各类大赛分数</w:t>
            </w:r>
            <w:r>
              <w:rPr>
                <w:rFonts w:ascii="仿宋" w:hAnsi="仿宋" w:eastAsia="仿宋" w:cs="仿宋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国证书</w:t>
            </w:r>
            <w:r>
              <w:rPr>
                <w:rFonts w:ascii="仿宋" w:hAnsi="仿宋" w:eastAsia="仿宋" w:cs="仿宋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优秀创业</w:t>
            </w:r>
            <w:r>
              <w:rPr>
                <w:rFonts w:ascii="仿宋" w:hAnsi="仿宋" w:eastAsia="仿宋" w:cs="仿宋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优秀三助分数</w:t>
            </w:r>
            <w:r>
              <w:rPr>
                <w:rFonts w:ascii="仿宋" w:hAnsi="仿宋" w:eastAsia="仿宋" w:cs="仿宋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优秀学生干部、班干部</w:t>
            </w:r>
            <w:r>
              <w:rPr>
                <w:rFonts w:ascii="仿宋" w:hAnsi="仿宋" w:eastAsia="仿宋" w:cs="仿宋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优秀思想品德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5" w:type="dxa"/>
            <w:vAlign w:val="center"/>
          </w:tcPr>
          <w:p>
            <w:pPr>
              <w:autoSpaceDN w:val="0"/>
              <w:spacing w:beforeAutospacing="1" w:afterAutospacing="1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、证书</w:t>
            </w:r>
          </w:p>
        </w:tc>
        <w:tc>
          <w:tcPr>
            <w:tcW w:w="4210" w:type="dxa"/>
            <w:vAlign w:val="center"/>
          </w:tcPr>
          <w:p>
            <w:pPr>
              <w:autoSpaceDN w:val="0"/>
              <w:spacing w:beforeAutospacing="1" w:afterAutospacing="1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国家级裁判证书的一次性加分</w:t>
            </w:r>
            <w:r>
              <w:rPr>
                <w:rFonts w:ascii="仿宋" w:hAnsi="仿宋" w:eastAsia="仿宋" w:cs="仿宋"/>
                <w:sz w:val="21"/>
                <w:szCs w:val="21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；一级裁判</w:t>
            </w:r>
            <w:r>
              <w:rPr>
                <w:rFonts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分；二级裁判</w:t>
            </w: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分。专业相关的证书</w:t>
            </w: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</w:t>
            </w:r>
          </w:p>
        </w:tc>
        <w:tc>
          <w:tcPr>
            <w:tcW w:w="4534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限报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项。</w:t>
            </w:r>
            <w:r>
              <w:rPr>
                <w:rFonts w:ascii="仿宋" w:hAnsi="仿宋" w:eastAsia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二级（含）以下累计不超过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</w:t>
            </w:r>
            <w:r>
              <w:rPr>
                <w:rFonts w:ascii="仿宋" w:hAnsi="仿宋" w:eastAsia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专业相关的认定：培养计划中有相关课程或有关的课程内容。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="100" w:beforeAutospacing="1" w:after="100" w:afterAutospacing="1" w:line="240" w:lineRule="atLeast"/>
              <w:ind w:right="928" w:rightChars="442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="100" w:beforeAutospacing="1" w:after="100" w:afterAutospacing="1" w:line="240" w:lineRule="atLeast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605" w:type="dxa"/>
            <w:vAlign w:val="center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、优秀三助</w:t>
            </w:r>
          </w:p>
        </w:tc>
        <w:tc>
          <w:tcPr>
            <w:tcW w:w="4210" w:type="dxa"/>
            <w:vAlign w:val="center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一次性加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4534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优秀助研、助管、助教各部分总人数</w:t>
            </w:r>
            <w:r>
              <w:rPr>
                <w:rFonts w:ascii="仿宋" w:hAnsi="仿宋" w:eastAsia="仿宋" w:cs="仿宋"/>
                <w:sz w:val="21"/>
                <w:szCs w:val="21"/>
              </w:rPr>
              <w:t>20%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推荐（小数部分四舍五入）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605" w:type="dxa"/>
            <w:vAlign w:val="center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、优秀创业</w:t>
            </w:r>
          </w:p>
        </w:tc>
        <w:tc>
          <w:tcPr>
            <w:tcW w:w="4210" w:type="dxa"/>
            <w:vAlign w:val="center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一次性加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4534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正式注册公司的法人，公司正常营运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605" w:type="dxa"/>
            <w:vAlign w:val="center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、优秀学生会干部、班干部</w:t>
            </w:r>
          </w:p>
        </w:tc>
        <w:tc>
          <w:tcPr>
            <w:tcW w:w="4210" w:type="dxa"/>
            <w:vAlign w:val="center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一次性加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4534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学生会、班委会推荐，研究生部审批，确定名单（人数：学生会</w:t>
            </w: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名，每班</w:t>
            </w: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名）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优秀思想品德</w:t>
            </w:r>
          </w:p>
        </w:tc>
        <w:tc>
          <w:tcPr>
            <w:tcW w:w="4210" w:type="dxa"/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见义勇为、好人好事等先进事迹的学生。凡受到国家表彰或在全国刊物、报纸上登载个人先进事迹者一次性给予加</w:t>
            </w:r>
            <w:r>
              <w:rPr>
                <w:rFonts w:ascii="仿宋" w:hAnsi="仿宋" w:eastAsia="仿宋" w:cs="仿宋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</w:t>
            </w:r>
          </w:p>
          <w:p>
            <w:pPr>
              <w:autoSpaceDN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凡受到省级表彰或在省级刊物、报纸上登载个人先进事迹者，一次性给予加</w:t>
            </w:r>
            <w:r>
              <w:rPr>
                <w:rFonts w:ascii="仿宋" w:hAnsi="仿宋" w:eastAsia="仿宋" w:cs="仿宋"/>
                <w:sz w:val="21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</w:t>
            </w:r>
          </w:p>
        </w:tc>
        <w:tc>
          <w:tcPr>
            <w:tcW w:w="4534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重复报道的，不重复加分，以高级别为标准加分。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91" w:type="dxa"/>
            <w:gridSpan w:val="5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总分</w:t>
            </w:r>
            <w:r>
              <w:rPr>
                <w:rFonts w:ascii="仿宋" w:hAnsi="仿宋" w:eastAsia="仿宋" w:cs="仿宋"/>
                <w:sz w:val="21"/>
                <w:szCs w:val="21"/>
              </w:rPr>
              <w:t>S=W1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ascii="仿宋" w:hAnsi="仿宋" w:eastAsia="仿宋" w:cs="仿宋"/>
                <w:sz w:val="21"/>
                <w:szCs w:val="21"/>
              </w:rPr>
              <w:t>S1+W2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ascii="仿宋" w:hAnsi="仿宋" w:eastAsia="仿宋" w:cs="仿宋"/>
                <w:sz w:val="21"/>
                <w:szCs w:val="21"/>
              </w:rPr>
              <w:t>S2+ W3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ascii="仿宋" w:hAnsi="仿宋" w:eastAsia="仿宋" w:cs="仿宋"/>
                <w:sz w:val="21"/>
                <w:szCs w:val="21"/>
              </w:rPr>
              <w:t>S3+W4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ascii="仿宋" w:hAnsi="仿宋" w:eastAsia="仿宋" w:cs="仿宋"/>
                <w:sz w:val="21"/>
                <w:szCs w:val="21"/>
              </w:rPr>
              <w:t>S4+W5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ascii="仿宋" w:hAnsi="仿宋" w:eastAsia="仿宋" w:cs="仿宋"/>
                <w:sz w:val="21"/>
                <w:szCs w:val="21"/>
              </w:rPr>
              <w:t>S5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ind w:left="525" w:leftChars="250" w:right="727" w:rightChars="346"/>
        <w:jc w:val="left"/>
        <w:rPr>
          <w:rFonts w:ascii="仿宋" w:hAnsi="仿宋" w:eastAsia="仿宋"/>
          <w:sz w:val="28"/>
          <w:szCs w:val="28"/>
        </w:rPr>
      </w:pPr>
    </w:p>
    <w:p>
      <w:pPr>
        <w:ind w:left="525" w:leftChars="250" w:right="727" w:rightChars="346"/>
        <w:jc w:val="left"/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right="17" w:rightChars="8"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</w:t>
      </w:r>
      <w:r>
        <w:rPr>
          <w:rFonts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：共三条，涉及</w:t>
      </w:r>
      <w:r>
        <w:rPr>
          <w:rFonts w:ascii="仿宋" w:hAnsi="仿宋" w:eastAsia="仿宋" w:cs="仿宋"/>
          <w:b/>
          <w:bCs/>
          <w:sz w:val="28"/>
          <w:szCs w:val="28"/>
        </w:rPr>
        <w:t>S1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得分。</w:t>
      </w:r>
    </w:p>
    <w:p>
      <w:pPr>
        <w:ind w:right="17" w:rightChars="8"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一、公派出国学习的研究生，依据《南京体育学院研究生境外交流学分认定办法（试行）》完成出国期间修学的课程学分认定、转换成绩后，相关课程成绩与本校认定的课程学分和成绩等同。</w:t>
      </w:r>
    </w:p>
    <w:p>
      <w:pPr>
        <w:ind w:right="17" w:rightChars="8"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二、由研究生部统一安排的研究生的课程，原则上研究生应跟随年级一同学习，取得成绩。如因导师个别调整研究生课程，未参加培养计划中统一安排的课程学习，修习了其它课程，并取得成绩时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该成绩不记绩点，不</w:t>
      </w:r>
      <w:r>
        <w:rPr>
          <w:rFonts w:ascii="仿宋" w:hAnsi="仿宋" w:eastAsia="仿宋" w:cs="仿宋"/>
          <w:sz w:val="28"/>
          <w:szCs w:val="28"/>
        </w:rPr>
        <w:t>记课程门次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right="17" w:rightChars="8"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三、按照学籍管理规定，缺课学时超过该课程总学时</w:t>
      </w:r>
      <w:r>
        <w:rPr>
          <w:rFonts w:ascii="仿宋" w:hAnsi="仿宋" w:eastAsia="仿宋" w:cs="仿宋"/>
          <w:sz w:val="28"/>
          <w:szCs w:val="28"/>
        </w:rPr>
        <w:t>1/3</w:t>
      </w:r>
      <w:r>
        <w:rPr>
          <w:rFonts w:hint="eastAsia" w:ascii="仿宋" w:hAnsi="仿宋" w:eastAsia="仿宋" w:cs="仿宋"/>
          <w:sz w:val="28"/>
          <w:szCs w:val="28"/>
        </w:rPr>
        <w:t>以上或者旷考等原因，未取得该课程成绩时，该课程成绩的学分绩点为零。</w:t>
      </w:r>
    </w:p>
    <w:p>
      <w:pPr>
        <w:ind w:right="17" w:rightChars="8"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其他问题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实施</w:t>
      </w:r>
      <w:r>
        <w:rPr>
          <w:rFonts w:hint="eastAsia" w:ascii="仿宋" w:hAnsi="仿宋" w:eastAsia="仿宋" w:cs="仿宋"/>
          <w:sz w:val="28"/>
          <w:szCs w:val="28"/>
        </w:rPr>
        <w:t>细则经领导小组讨论通过后公布予以实施。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实施</w:t>
      </w:r>
      <w:r>
        <w:rPr>
          <w:rFonts w:hint="eastAsia" w:ascii="仿宋" w:hAnsi="仿宋" w:eastAsia="仿宋" w:cs="仿宋"/>
          <w:sz w:val="28"/>
          <w:szCs w:val="28"/>
        </w:rPr>
        <w:t>细则由研究生部负责解释。</w:t>
      </w:r>
    </w:p>
    <w:p>
      <w:pPr>
        <w:ind w:right="42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ind w:right="42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ind w:right="420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南京体育学院研究生部</w:t>
      </w:r>
    </w:p>
    <w:p>
      <w:pPr>
        <w:ind w:right="560"/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2021年11月3日</w:t>
      </w:r>
      <w:bookmarkStart w:id="1" w:name="_GoBack"/>
      <w:bookmarkEnd w:id="1"/>
    </w:p>
    <w:p>
      <w:pPr>
        <w:ind w:right="56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>
      <w:pPr>
        <w:ind w:right="560"/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75B45"/>
    <w:multiLevelType w:val="singleLevel"/>
    <w:tmpl w:val="A0E75B45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94"/>
    <w:rsid w:val="00003366"/>
    <w:rsid w:val="00012BF0"/>
    <w:rsid w:val="0002066F"/>
    <w:rsid w:val="000220CD"/>
    <w:rsid w:val="0003340B"/>
    <w:rsid w:val="00042993"/>
    <w:rsid w:val="0005201C"/>
    <w:rsid w:val="00054D1E"/>
    <w:rsid w:val="0005606E"/>
    <w:rsid w:val="00056115"/>
    <w:rsid w:val="000658A3"/>
    <w:rsid w:val="00065DF1"/>
    <w:rsid w:val="000675E0"/>
    <w:rsid w:val="0007057A"/>
    <w:rsid w:val="000749BF"/>
    <w:rsid w:val="00076E79"/>
    <w:rsid w:val="0009733E"/>
    <w:rsid w:val="000A3371"/>
    <w:rsid w:val="000A3D2E"/>
    <w:rsid w:val="000A42C6"/>
    <w:rsid w:val="000A65F7"/>
    <w:rsid w:val="000B1218"/>
    <w:rsid w:val="000B165A"/>
    <w:rsid w:val="000B6C25"/>
    <w:rsid w:val="000D1C09"/>
    <w:rsid w:val="000D5847"/>
    <w:rsid w:val="000F2A2F"/>
    <w:rsid w:val="000F67CC"/>
    <w:rsid w:val="00101FCC"/>
    <w:rsid w:val="0010523E"/>
    <w:rsid w:val="001070AE"/>
    <w:rsid w:val="00107E47"/>
    <w:rsid w:val="001170B7"/>
    <w:rsid w:val="0012411C"/>
    <w:rsid w:val="00130829"/>
    <w:rsid w:val="00130D89"/>
    <w:rsid w:val="00132BD8"/>
    <w:rsid w:val="0015197F"/>
    <w:rsid w:val="00162B93"/>
    <w:rsid w:val="00170170"/>
    <w:rsid w:val="001746F1"/>
    <w:rsid w:val="0017592E"/>
    <w:rsid w:val="0018400E"/>
    <w:rsid w:val="00184277"/>
    <w:rsid w:val="001847E8"/>
    <w:rsid w:val="00186835"/>
    <w:rsid w:val="00191498"/>
    <w:rsid w:val="00197D40"/>
    <w:rsid w:val="001A4B95"/>
    <w:rsid w:val="001A4BBA"/>
    <w:rsid w:val="001A5D2E"/>
    <w:rsid w:val="001B4C69"/>
    <w:rsid w:val="001D017C"/>
    <w:rsid w:val="001E6D0A"/>
    <w:rsid w:val="001E7A3A"/>
    <w:rsid w:val="001F07E1"/>
    <w:rsid w:val="001F6F58"/>
    <w:rsid w:val="00203562"/>
    <w:rsid w:val="00207905"/>
    <w:rsid w:val="002175F4"/>
    <w:rsid w:val="00220D85"/>
    <w:rsid w:val="0022650A"/>
    <w:rsid w:val="00244D5E"/>
    <w:rsid w:val="0025443D"/>
    <w:rsid w:val="0025516E"/>
    <w:rsid w:val="00257469"/>
    <w:rsid w:val="00257B4C"/>
    <w:rsid w:val="00287032"/>
    <w:rsid w:val="00287B6C"/>
    <w:rsid w:val="002A39B3"/>
    <w:rsid w:val="002C5330"/>
    <w:rsid w:val="002C7E00"/>
    <w:rsid w:val="002D3E3B"/>
    <w:rsid w:val="002D40F2"/>
    <w:rsid w:val="002E1735"/>
    <w:rsid w:val="002E21A6"/>
    <w:rsid w:val="002F2D69"/>
    <w:rsid w:val="002F5B58"/>
    <w:rsid w:val="00303BA3"/>
    <w:rsid w:val="00304AB2"/>
    <w:rsid w:val="00312029"/>
    <w:rsid w:val="0032601F"/>
    <w:rsid w:val="00334349"/>
    <w:rsid w:val="00336501"/>
    <w:rsid w:val="00346650"/>
    <w:rsid w:val="00347FE2"/>
    <w:rsid w:val="00374985"/>
    <w:rsid w:val="003752D4"/>
    <w:rsid w:val="00375BDD"/>
    <w:rsid w:val="00377697"/>
    <w:rsid w:val="003777F6"/>
    <w:rsid w:val="003A04C1"/>
    <w:rsid w:val="003B15FC"/>
    <w:rsid w:val="003B1D08"/>
    <w:rsid w:val="003B6667"/>
    <w:rsid w:val="003B6E95"/>
    <w:rsid w:val="003C5761"/>
    <w:rsid w:val="003C6EBF"/>
    <w:rsid w:val="003D3C4C"/>
    <w:rsid w:val="003D45CA"/>
    <w:rsid w:val="003F161A"/>
    <w:rsid w:val="003F4C7F"/>
    <w:rsid w:val="003F565F"/>
    <w:rsid w:val="003F7FCC"/>
    <w:rsid w:val="00403DA5"/>
    <w:rsid w:val="004079E5"/>
    <w:rsid w:val="00407D93"/>
    <w:rsid w:val="004101F5"/>
    <w:rsid w:val="004154FA"/>
    <w:rsid w:val="00417E90"/>
    <w:rsid w:val="0042418D"/>
    <w:rsid w:val="004372EB"/>
    <w:rsid w:val="004410B1"/>
    <w:rsid w:val="004506A4"/>
    <w:rsid w:val="004576A2"/>
    <w:rsid w:val="004623D5"/>
    <w:rsid w:val="0046291D"/>
    <w:rsid w:val="00470DE5"/>
    <w:rsid w:val="00472928"/>
    <w:rsid w:val="00473111"/>
    <w:rsid w:val="00475D96"/>
    <w:rsid w:val="00480531"/>
    <w:rsid w:val="00480D9C"/>
    <w:rsid w:val="0048363D"/>
    <w:rsid w:val="00484E5B"/>
    <w:rsid w:val="004856B4"/>
    <w:rsid w:val="004938B0"/>
    <w:rsid w:val="004A11F4"/>
    <w:rsid w:val="004A1D7C"/>
    <w:rsid w:val="004A4DFA"/>
    <w:rsid w:val="004A66FC"/>
    <w:rsid w:val="004A78AA"/>
    <w:rsid w:val="004B0437"/>
    <w:rsid w:val="004E313E"/>
    <w:rsid w:val="00501D75"/>
    <w:rsid w:val="00502162"/>
    <w:rsid w:val="005043E1"/>
    <w:rsid w:val="00505BA2"/>
    <w:rsid w:val="00506B8A"/>
    <w:rsid w:val="00512B8D"/>
    <w:rsid w:val="005135E4"/>
    <w:rsid w:val="00521B20"/>
    <w:rsid w:val="00525BF0"/>
    <w:rsid w:val="0053204E"/>
    <w:rsid w:val="00537BE7"/>
    <w:rsid w:val="0054736C"/>
    <w:rsid w:val="00554934"/>
    <w:rsid w:val="0056463D"/>
    <w:rsid w:val="00564974"/>
    <w:rsid w:val="00581A13"/>
    <w:rsid w:val="00587A12"/>
    <w:rsid w:val="005946F5"/>
    <w:rsid w:val="005A0BB9"/>
    <w:rsid w:val="005A199D"/>
    <w:rsid w:val="005B51CB"/>
    <w:rsid w:val="005C0ACC"/>
    <w:rsid w:val="005C1DAF"/>
    <w:rsid w:val="005C52CD"/>
    <w:rsid w:val="005C56C5"/>
    <w:rsid w:val="005C7AD4"/>
    <w:rsid w:val="005E53A5"/>
    <w:rsid w:val="005E5AA1"/>
    <w:rsid w:val="005E7676"/>
    <w:rsid w:val="005F19CA"/>
    <w:rsid w:val="005F6B6F"/>
    <w:rsid w:val="00601802"/>
    <w:rsid w:val="00603336"/>
    <w:rsid w:val="0060380A"/>
    <w:rsid w:val="00605563"/>
    <w:rsid w:val="0060642B"/>
    <w:rsid w:val="00633163"/>
    <w:rsid w:val="006336BC"/>
    <w:rsid w:val="00633A19"/>
    <w:rsid w:val="00671A74"/>
    <w:rsid w:val="00673143"/>
    <w:rsid w:val="006754B3"/>
    <w:rsid w:val="00676403"/>
    <w:rsid w:val="006813A9"/>
    <w:rsid w:val="0068302C"/>
    <w:rsid w:val="006875BB"/>
    <w:rsid w:val="006A2CC2"/>
    <w:rsid w:val="006B0AD3"/>
    <w:rsid w:val="006B3631"/>
    <w:rsid w:val="006B43C7"/>
    <w:rsid w:val="006C7CD0"/>
    <w:rsid w:val="006D36A6"/>
    <w:rsid w:val="006E01D0"/>
    <w:rsid w:val="006E1A6B"/>
    <w:rsid w:val="006E4885"/>
    <w:rsid w:val="006F61C1"/>
    <w:rsid w:val="0070674A"/>
    <w:rsid w:val="0071175C"/>
    <w:rsid w:val="007118BE"/>
    <w:rsid w:val="00715E54"/>
    <w:rsid w:val="0072017D"/>
    <w:rsid w:val="00724F38"/>
    <w:rsid w:val="00731B43"/>
    <w:rsid w:val="00735FDD"/>
    <w:rsid w:val="00736CCC"/>
    <w:rsid w:val="00737B32"/>
    <w:rsid w:val="00742932"/>
    <w:rsid w:val="007540A1"/>
    <w:rsid w:val="00761BB9"/>
    <w:rsid w:val="00763129"/>
    <w:rsid w:val="00765A15"/>
    <w:rsid w:val="00765B1D"/>
    <w:rsid w:val="0077040E"/>
    <w:rsid w:val="00790D35"/>
    <w:rsid w:val="00790D7A"/>
    <w:rsid w:val="0079614C"/>
    <w:rsid w:val="00797273"/>
    <w:rsid w:val="007A202E"/>
    <w:rsid w:val="007A310E"/>
    <w:rsid w:val="007A58AF"/>
    <w:rsid w:val="007C5A1E"/>
    <w:rsid w:val="007C6961"/>
    <w:rsid w:val="007C7E6D"/>
    <w:rsid w:val="007D4164"/>
    <w:rsid w:val="007D57F0"/>
    <w:rsid w:val="007D5DEF"/>
    <w:rsid w:val="007F7536"/>
    <w:rsid w:val="00803B34"/>
    <w:rsid w:val="00804DAA"/>
    <w:rsid w:val="00814074"/>
    <w:rsid w:val="008173C5"/>
    <w:rsid w:val="0082300C"/>
    <w:rsid w:val="0083017B"/>
    <w:rsid w:val="00844C2D"/>
    <w:rsid w:val="00861E12"/>
    <w:rsid w:val="00874099"/>
    <w:rsid w:val="00876467"/>
    <w:rsid w:val="00877582"/>
    <w:rsid w:val="00886911"/>
    <w:rsid w:val="008979E6"/>
    <w:rsid w:val="008A2C3E"/>
    <w:rsid w:val="008C1AD1"/>
    <w:rsid w:val="008C44DF"/>
    <w:rsid w:val="008C52D0"/>
    <w:rsid w:val="008D1664"/>
    <w:rsid w:val="008D435B"/>
    <w:rsid w:val="008D6E2A"/>
    <w:rsid w:val="008E78DB"/>
    <w:rsid w:val="008F2275"/>
    <w:rsid w:val="008F55AB"/>
    <w:rsid w:val="008F6CD2"/>
    <w:rsid w:val="008F71EA"/>
    <w:rsid w:val="00901C6D"/>
    <w:rsid w:val="00913326"/>
    <w:rsid w:val="00914D8B"/>
    <w:rsid w:val="00916E1D"/>
    <w:rsid w:val="00920017"/>
    <w:rsid w:val="00921FAD"/>
    <w:rsid w:val="00925F15"/>
    <w:rsid w:val="00927FFC"/>
    <w:rsid w:val="0093002A"/>
    <w:rsid w:val="009305A7"/>
    <w:rsid w:val="0093130D"/>
    <w:rsid w:val="009339BA"/>
    <w:rsid w:val="00945031"/>
    <w:rsid w:val="009466C4"/>
    <w:rsid w:val="00950D06"/>
    <w:rsid w:val="00951ABE"/>
    <w:rsid w:val="00955C9A"/>
    <w:rsid w:val="009560F1"/>
    <w:rsid w:val="00956E52"/>
    <w:rsid w:val="0095763A"/>
    <w:rsid w:val="00960ED4"/>
    <w:rsid w:val="00975391"/>
    <w:rsid w:val="00993E95"/>
    <w:rsid w:val="009A4144"/>
    <w:rsid w:val="009A4631"/>
    <w:rsid w:val="009A6158"/>
    <w:rsid w:val="009A61C2"/>
    <w:rsid w:val="009B11BA"/>
    <w:rsid w:val="009B13DD"/>
    <w:rsid w:val="009B19F2"/>
    <w:rsid w:val="009B746F"/>
    <w:rsid w:val="009C4F77"/>
    <w:rsid w:val="009E04C3"/>
    <w:rsid w:val="009E4927"/>
    <w:rsid w:val="009E5F7D"/>
    <w:rsid w:val="009F6256"/>
    <w:rsid w:val="009F7EDA"/>
    <w:rsid w:val="00A036FA"/>
    <w:rsid w:val="00A03957"/>
    <w:rsid w:val="00A04841"/>
    <w:rsid w:val="00A05595"/>
    <w:rsid w:val="00A11EF3"/>
    <w:rsid w:val="00A209A3"/>
    <w:rsid w:val="00A238BF"/>
    <w:rsid w:val="00A26A4B"/>
    <w:rsid w:val="00A35355"/>
    <w:rsid w:val="00A3617C"/>
    <w:rsid w:val="00A431F7"/>
    <w:rsid w:val="00A502A6"/>
    <w:rsid w:val="00A50D77"/>
    <w:rsid w:val="00A54464"/>
    <w:rsid w:val="00A575ED"/>
    <w:rsid w:val="00A64468"/>
    <w:rsid w:val="00A75FC9"/>
    <w:rsid w:val="00A76286"/>
    <w:rsid w:val="00A76567"/>
    <w:rsid w:val="00AA2875"/>
    <w:rsid w:val="00AA3224"/>
    <w:rsid w:val="00AB108E"/>
    <w:rsid w:val="00AB3BFD"/>
    <w:rsid w:val="00AB772B"/>
    <w:rsid w:val="00AC0101"/>
    <w:rsid w:val="00AD5806"/>
    <w:rsid w:val="00AE1B2E"/>
    <w:rsid w:val="00AF5E92"/>
    <w:rsid w:val="00AF7736"/>
    <w:rsid w:val="00B05A61"/>
    <w:rsid w:val="00B069AF"/>
    <w:rsid w:val="00B24230"/>
    <w:rsid w:val="00B25C2F"/>
    <w:rsid w:val="00B350DF"/>
    <w:rsid w:val="00B538E4"/>
    <w:rsid w:val="00B61EE4"/>
    <w:rsid w:val="00B61F70"/>
    <w:rsid w:val="00B656F2"/>
    <w:rsid w:val="00B758EA"/>
    <w:rsid w:val="00B82CA9"/>
    <w:rsid w:val="00B873DA"/>
    <w:rsid w:val="00B933E1"/>
    <w:rsid w:val="00BA1FB2"/>
    <w:rsid w:val="00BA5757"/>
    <w:rsid w:val="00BB1AD8"/>
    <w:rsid w:val="00BB2CF1"/>
    <w:rsid w:val="00BC1A8B"/>
    <w:rsid w:val="00BC4002"/>
    <w:rsid w:val="00BD4983"/>
    <w:rsid w:val="00BE4648"/>
    <w:rsid w:val="00BF306E"/>
    <w:rsid w:val="00BF3575"/>
    <w:rsid w:val="00BF5FE6"/>
    <w:rsid w:val="00C01EA4"/>
    <w:rsid w:val="00C03B85"/>
    <w:rsid w:val="00C14228"/>
    <w:rsid w:val="00C204E1"/>
    <w:rsid w:val="00C25482"/>
    <w:rsid w:val="00C31518"/>
    <w:rsid w:val="00C32B94"/>
    <w:rsid w:val="00C47427"/>
    <w:rsid w:val="00C53107"/>
    <w:rsid w:val="00C532A4"/>
    <w:rsid w:val="00C54765"/>
    <w:rsid w:val="00C63E4E"/>
    <w:rsid w:val="00C759C7"/>
    <w:rsid w:val="00C760B8"/>
    <w:rsid w:val="00C7674A"/>
    <w:rsid w:val="00C831F2"/>
    <w:rsid w:val="00C869C6"/>
    <w:rsid w:val="00CA12E8"/>
    <w:rsid w:val="00CB155C"/>
    <w:rsid w:val="00CB195E"/>
    <w:rsid w:val="00CC13B9"/>
    <w:rsid w:val="00CC3409"/>
    <w:rsid w:val="00CD41A5"/>
    <w:rsid w:val="00CD735E"/>
    <w:rsid w:val="00CE39CB"/>
    <w:rsid w:val="00CE45BD"/>
    <w:rsid w:val="00CE5D3E"/>
    <w:rsid w:val="00CF7AB5"/>
    <w:rsid w:val="00D25EAE"/>
    <w:rsid w:val="00D311EF"/>
    <w:rsid w:val="00D35542"/>
    <w:rsid w:val="00D40379"/>
    <w:rsid w:val="00D54929"/>
    <w:rsid w:val="00D561F5"/>
    <w:rsid w:val="00D600A2"/>
    <w:rsid w:val="00D76AE5"/>
    <w:rsid w:val="00D77823"/>
    <w:rsid w:val="00D90AA9"/>
    <w:rsid w:val="00D91298"/>
    <w:rsid w:val="00D969F2"/>
    <w:rsid w:val="00DA319B"/>
    <w:rsid w:val="00DA5D89"/>
    <w:rsid w:val="00DA75E7"/>
    <w:rsid w:val="00DB02D2"/>
    <w:rsid w:val="00DB2758"/>
    <w:rsid w:val="00DB2803"/>
    <w:rsid w:val="00DB4CC2"/>
    <w:rsid w:val="00DB5FC5"/>
    <w:rsid w:val="00DC2E72"/>
    <w:rsid w:val="00DD5181"/>
    <w:rsid w:val="00DD5502"/>
    <w:rsid w:val="00DD776D"/>
    <w:rsid w:val="00DE115D"/>
    <w:rsid w:val="00DF1120"/>
    <w:rsid w:val="00DF25EF"/>
    <w:rsid w:val="00DF66BA"/>
    <w:rsid w:val="00E137F5"/>
    <w:rsid w:val="00E1463B"/>
    <w:rsid w:val="00E14B82"/>
    <w:rsid w:val="00E1526E"/>
    <w:rsid w:val="00E22671"/>
    <w:rsid w:val="00E23E9B"/>
    <w:rsid w:val="00E27AA6"/>
    <w:rsid w:val="00E3199B"/>
    <w:rsid w:val="00E33910"/>
    <w:rsid w:val="00E34E0C"/>
    <w:rsid w:val="00E40628"/>
    <w:rsid w:val="00E4128D"/>
    <w:rsid w:val="00E518B0"/>
    <w:rsid w:val="00E533BC"/>
    <w:rsid w:val="00E56B9B"/>
    <w:rsid w:val="00E64D0F"/>
    <w:rsid w:val="00E760E8"/>
    <w:rsid w:val="00E77464"/>
    <w:rsid w:val="00E86476"/>
    <w:rsid w:val="00E86B14"/>
    <w:rsid w:val="00E90AD6"/>
    <w:rsid w:val="00E97E26"/>
    <w:rsid w:val="00EA5FEC"/>
    <w:rsid w:val="00EB2AA7"/>
    <w:rsid w:val="00EB5FBD"/>
    <w:rsid w:val="00EC7D91"/>
    <w:rsid w:val="00EE0A5B"/>
    <w:rsid w:val="00EE68BB"/>
    <w:rsid w:val="00EF0039"/>
    <w:rsid w:val="00EF35C3"/>
    <w:rsid w:val="00EF4E77"/>
    <w:rsid w:val="00EF5C02"/>
    <w:rsid w:val="00F03DF1"/>
    <w:rsid w:val="00F06AF0"/>
    <w:rsid w:val="00F11F5B"/>
    <w:rsid w:val="00F12D35"/>
    <w:rsid w:val="00F16C1B"/>
    <w:rsid w:val="00F21205"/>
    <w:rsid w:val="00F247F4"/>
    <w:rsid w:val="00F24EAB"/>
    <w:rsid w:val="00F24F9C"/>
    <w:rsid w:val="00F250AD"/>
    <w:rsid w:val="00F261BA"/>
    <w:rsid w:val="00F35283"/>
    <w:rsid w:val="00F410ED"/>
    <w:rsid w:val="00F4248E"/>
    <w:rsid w:val="00F51F0A"/>
    <w:rsid w:val="00F54367"/>
    <w:rsid w:val="00F6579D"/>
    <w:rsid w:val="00F70674"/>
    <w:rsid w:val="00F70C46"/>
    <w:rsid w:val="00F71284"/>
    <w:rsid w:val="00F71F4A"/>
    <w:rsid w:val="00F81C3A"/>
    <w:rsid w:val="00F83E8A"/>
    <w:rsid w:val="00F95715"/>
    <w:rsid w:val="00F97729"/>
    <w:rsid w:val="00FA2B66"/>
    <w:rsid w:val="00FB5033"/>
    <w:rsid w:val="00FD1549"/>
    <w:rsid w:val="00FD783E"/>
    <w:rsid w:val="00FE5482"/>
    <w:rsid w:val="00FF290B"/>
    <w:rsid w:val="00FF4717"/>
    <w:rsid w:val="00FF628F"/>
    <w:rsid w:val="0DBA1697"/>
    <w:rsid w:val="12BA2413"/>
    <w:rsid w:val="131B0C9E"/>
    <w:rsid w:val="1C8835C5"/>
    <w:rsid w:val="1F9501BA"/>
    <w:rsid w:val="35C16E06"/>
    <w:rsid w:val="3A7B7C46"/>
    <w:rsid w:val="3B626CC5"/>
    <w:rsid w:val="3E574222"/>
    <w:rsid w:val="471565FE"/>
    <w:rsid w:val="50DE0078"/>
    <w:rsid w:val="50EC5963"/>
    <w:rsid w:val="5C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locked/>
    <w:uiPriority w:val="0"/>
    <w:pPr>
      <w:ind w:left="100" w:leftChars="2500"/>
    </w:pPr>
  </w:style>
  <w:style w:type="paragraph" w:styleId="3">
    <w:name w:val="Balloon Text"/>
    <w:basedOn w:val="1"/>
    <w:link w:val="9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semiHidden/>
    <w:qFormat/>
    <w:locked/>
    <w:uiPriority w:val="0"/>
    <w:rPr>
      <w:rFonts w:cs="Times New Roman"/>
      <w:sz w:val="2"/>
      <w:szCs w:val="2"/>
    </w:rPr>
  </w:style>
  <w:style w:type="character" w:customStyle="1" w:styleId="10">
    <w:name w:val="页眉 Char"/>
    <w:link w:val="5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1">
    <w:name w:val="页脚 Char"/>
    <w:link w:val="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2">
    <w:name w:val="日期 Char"/>
    <w:link w:val="2"/>
    <w:semiHidden/>
    <w:qFormat/>
    <w:locked/>
    <w:uiPriority w:val="0"/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10</Pages>
  <Words>693</Words>
  <Characters>3953</Characters>
  <Lines>32</Lines>
  <Paragraphs>9</Paragraphs>
  <TotalTime>184</TotalTime>
  <ScaleCrop>false</ScaleCrop>
  <LinksUpToDate>false</LinksUpToDate>
  <CharactersWithSpaces>4637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2017-10-26T00:31:00Z</dcterms:created>
  <dc:creator>陈磊</dc:creator>
  <cp:lastModifiedBy>林子</cp:lastModifiedBy>
  <cp:lastPrinted>2020-12-15T02:01:00Z</cp:lastPrinted>
  <dcterms:modified xsi:type="dcterms:W3CDTF">2021-11-03T13:16:10Z</dcterms:modified>
  <dc:title>南京体育学院研究生国家奖学金评审细则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A9A9434D7B694471AF4885AF77F5AF97</vt:lpwstr>
  </property>
</Properties>
</file>