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仿宋" w:hAnsi="仿宋" w:eastAsia="仿宋"/>
          <w:sz w:val="32"/>
          <w:szCs w:val="32"/>
        </w:rPr>
      </w:pPr>
      <w:r>
        <w:rPr>
          <w:rFonts w:hint="eastAsia" w:ascii="仿宋" w:hAnsi="仿宋" w:eastAsia="仿宋"/>
          <w:sz w:val="32"/>
          <w:szCs w:val="32"/>
        </w:rPr>
        <w:t>附件1</w:t>
      </w:r>
    </w:p>
    <w:p>
      <w:pPr>
        <w:adjustRightInd w:val="0"/>
        <w:snapToGrid w:val="0"/>
        <w:jc w:val="center"/>
        <w:rPr>
          <w:rFonts w:ascii="华文中宋" w:hAnsi="华文中宋" w:eastAsia="华文中宋"/>
          <w:b/>
          <w:sz w:val="44"/>
          <w:szCs w:val="44"/>
        </w:rPr>
      </w:pPr>
      <w:r>
        <w:rPr>
          <w:rFonts w:hint="eastAsia" w:ascii="华文中宋" w:hAnsi="华文中宋" w:eastAsia="华文中宋"/>
          <w:b/>
          <w:sz w:val="44"/>
          <w:szCs w:val="44"/>
        </w:rPr>
        <w:t>201</w:t>
      </w:r>
      <w:r>
        <w:rPr>
          <w:rFonts w:ascii="华文中宋" w:hAnsi="华文中宋" w:eastAsia="华文中宋"/>
          <w:b/>
          <w:sz w:val="44"/>
          <w:szCs w:val="44"/>
        </w:rPr>
        <w:t>8</w:t>
      </w:r>
      <w:r>
        <w:rPr>
          <w:rFonts w:hint="eastAsia" w:ascii="华文中宋" w:hAnsi="华文中宋" w:eastAsia="华文中宋"/>
          <w:b/>
          <w:sz w:val="44"/>
          <w:szCs w:val="44"/>
        </w:rPr>
        <w:t>年度江苏高等教育质量保障与评价</w:t>
      </w:r>
    </w:p>
    <w:p>
      <w:pPr>
        <w:adjustRightInd w:val="0"/>
        <w:snapToGrid w:val="0"/>
        <w:jc w:val="center"/>
        <w:rPr>
          <w:rFonts w:ascii="华文中宋" w:hAnsi="华文中宋" w:eastAsia="华文中宋"/>
          <w:b/>
          <w:sz w:val="44"/>
          <w:szCs w:val="44"/>
        </w:rPr>
      </w:pPr>
      <w:r>
        <w:rPr>
          <w:rFonts w:hint="eastAsia" w:ascii="华文中宋" w:hAnsi="华文中宋" w:eastAsia="华文中宋"/>
          <w:b/>
          <w:sz w:val="44"/>
          <w:szCs w:val="44"/>
        </w:rPr>
        <w:t>研究论文征集</w:t>
      </w:r>
      <w:r>
        <w:rPr>
          <w:rFonts w:ascii="华文中宋" w:hAnsi="华文中宋" w:eastAsia="华文中宋"/>
          <w:b/>
          <w:sz w:val="44"/>
          <w:szCs w:val="44"/>
        </w:rPr>
        <w:t>指南</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为配合江苏高教学会评估委员会成立暨首届江苏高等教育质量保障与评价高峰论坛的举行，委员会决定在成立大会前开展论文（课题）征集工作。</w:t>
      </w:r>
    </w:p>
    <w:p>
      <w:pPr>
        <w:pStyle w:val="5"/>
        <w:shd w:val="clear" w:color="auto" w:fill="FFFFFF"/>
        <w:adjustRightInd w:val="0"/>
        <w:snapToGrid w:val="0"/>
        <w:spacing w:before="0" w:beforeAutospacing="0" w:after="0" w:afterAutospacing="0"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一、论文要求</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论文应主题明确，内容充实，学风严谨。非个人成果或涉及科研机密成果发表，作者文责自负。</w:t>
      </w:r>
    </w:p>
    <w:p>
      <w:pPr>
        <w:pStyle w:val="5"/>
        <w:shd w:val="clear" w:color="auto" w:fill="FFFFFF"/>
        <w:adjustRightInd w:val="0"/>
        <w:snapToGrid w:val="0"/>
        <w:spacing w:before="0" w:beforeAutospacing="0" w:after="0" w:afterAutospacing="0"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二、论文提交</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征文截止日期为201</w:t>
      </w:r>
      <w:r>
        <w:rPr>
          <w:rFonts w:ascii="仿宋" w:hAnsi="仿宋" w:eastAsia="仿宋"/>
          <w:color w:val="000000"/>
          <w:sz w:val="32"/>
          <w:szCs w:val="32"/>
        </w:rPr>
        <w:t>8</w:t>
      </w:r>
      <w:r>
        <w:rPr>
          <w:rFonts w:hint="eastAsia" w:ascii="仿宋" w:hAnsi="仿宋" w:eastAsia="仿宋"/>
          <w:color w:val="000000"/>
          <w:sz w:val="32"/>
          <w:szCs w:val="32"/>
        </w:rPr>
        <w:t>年</w:t>
      </w:r>
      <w:r>
        <w:rPr>
          <w:rFonts w:ascii="仿宋" w:hAnsi="仿宋" w:eastAsia="仿宋"/>
          <w:color w:val="000000"/>
          <w:sz w:val="32"/>
          <w:szCs w:val="32"/>
        </w:rPr>
        <w:t>1</w:t>
      </w:r>
      <w:r>
        <w:rPr>
          <w:rFonts w:hint="eastAsia" w:ascii="仿宋" w:hAnsi="仿宋" w:eastAsia="仿宋"/>
          <w:color w:val="000000"/>
          <w:sz w:val="32"/>
          <w:szCs w:val="32"/>
        </w:rPr>
        <w:t>月</w:t>
      </w:r>
      <w:r>
        <w:rPr>
          <w:rFonts w:ascii="仿宋" w:hAnsi="仿宋" w:eastAsia="仿宋"/>
          <w:color w:val="000000"/>
          <w:sz w:val="32"/>
          <w:szCs w:val="32"/>
        </w:rPr>
        <w:t>15</w:t>
      </w:r>
      <w:r>
        <w:rPr>
          <w:rFonts w:hint="eastAsia" w:ascii="仿宋" w:hAnsi="仿宋" w:eastAsia="仿宋"/>
          <w:color w:val="000000"/>
          <w:sz w:val="32"/>
          <w:szCs w:val="32"/>
        </w:rPr>
        <w:t>日。论文通过网上报送。电子邮箱：</w:t>
      </w:r>
      <w:r>
        <w:rPr>
          <w:rFonts w:ascii="仿宋" w:hAnsi="仿宋" w:eastAsia="仿宋"/>
          <w:color w:val="000000"/>
          <w:sz w:val="32"/>
          <w:szCs w:val="32"/>
        </w:rPr>
        <w:t>wang_quanquan@aliyun.com</w:t>
      </w:r>
      <w:r>
        <w:rPr>
          <w:rFonts w:hint="eastAsia" w:ascii="仿宋" w:hAnsi="仿宋" w:eastAsia="仿宋"/>
          <w:color w:val="000000"/>
          <w:sz w:val="32"/>
          <w:szCs w:val="32"/>
        </w:rPr>
        <w:t>。</w:t>
      </w:r>
    </w:p>
    <w:p>
      <w:pPr>
        <w:pStyle w:val="5"/>
        <w:shd w:val="clear" w:color="auto" w:fill="FFFFFF"/>
        <w:adjustRightInd w:val="0"/>
        <w:snapToGrid w:val="0"/>
        <w:spacing w:before="0" w:beforeAutospacing="0" w:after="0" w:afterAutospacing="0"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三、评审及录取</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委员会将组成专家组，对征集的论文进行严格评审，论文评奖设立一等奖、二等奖、三等奖及优秀论文奖等奖项，获奖论文将由江苏</w:t>
      </w:r>
      <w:r>
        <w:rPr>
          <w:rFonts w:ascii="仿宋" w:hAnsi="仿宋" w:eastAsia="仿宋"/>
          <w:color w:val="000000"/>
          <w:sz w:val="32"/>
          <w:szCs w:val="32"/>
        </w:rPr>
        <w:t>高教学会评估委员会</w:t>
      </w:r>
      <w:r>
        <w:rPr>
          <w:rFonts w:hint="eastAsia" w:ascii="仿宋" w:hAnsi="仿宋" w:eastAsia="仿宋"/>
          <w:color w:val="000000"/>
          <w:sz w:val="32"/>
          <w:szCs w:val="32"/>
        </w:rPr>
        <w:t>颁发荣誉证书。获奖论文将被收录到《江苏高教学会评估委员会201</w:t>
      </w:r>
      <w:r>
        <w:rPr>
          <w:rFonts w:ascii="仿宋" w:hAnsi="仿宋" w:eastAsia="仿宋"/>
          <w:color w:val="000000"/>
          <w:sz w:val="32"/>
          <w:szCs w:val="32"/>
        </w:rPr>
        <w:t>8</w:t>
      </w:r>
      <w:r>
        <w:rPr>
          <w:rFonts w:hint="eastAsia" w:ascii="仿宋" w:hAnsi="仿宋" w:eastAsia="仿宋"/>
          <w:color w:val="000000"/>
          <w:sz w:val="32"/>
          <w:szCs w:val="32"/>
        </w:rPr>
        <w:t>年度学术论文集》中，文集将正式出版。其中，部分优秀论文将推荐给《江苏</w:t>
      </w:r>
      <w:r>
        <w:rPr>
          <w:rFonts w:ascii="仿宋" w:hAnsi="仿宋" w:eastAsia="仿宋"/>
          <w:color w:val="000000"/>
          <w:sz w:val="32"/>
          <w:szCs w:val="32"/>
        </w:rPr>
        <w:t>高教</w:t>
      </w:r>
      <w:r>
        <w:rPr>
          <w:rFonts w:hint="eastAsia" w:ascii="仿宋" w:hAnsi="仿宋" w:eastAsia="仿宋"/>
          <w:color w:val="000000"/>
          <w:sz w:val="32"/>
          <w:szCs w:val="32"/>
        </w:rPr>
        <w:t>》等有关期刊杂志发表。</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征文评审、表彰、出版等所需经费由委员会筹措解决，不收评审费、表彰费、版面费等。</w:t>
      </w:r>
    </w:p>
    <w:p>
      <w:pPr>
        <w:pStyle w:val="5"/>
        <w:shd w:val="clear" w:color="auto" w:fill="FFFFFF"/>
        <w:adjustRightInd w:val="0"/>
        <w:snapToGrid w:val="0"/>
        <w:spacing w:before="0" w:beforeAutospacing="0" w:after="0" w:afterAutospacing="0"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四、征文范围</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本次应征论文，相关主题包括以下</w:t>
      </w:r>
      <w:r>
        <w:rPr>
          <w:rFonts w:ascii="仿宋" w:hAnsi="仿宋" w:eastAsia="仿宋"/>
          <w:color w:val="000000"/>
          <w:sz w:val="32"/>
          <w:szCs w:val="32"/>
        </w:rPr>
        <w:t>三个主要方面</w:t>
      </w:r>
      <w:r>
        <w:rPr>
          <w:rFonts w:hint="eastAsia" w:ascii="仿宋" w:hAnsi="仿宋" w:eastAsia="仿宋"/>
          <w:color w:val="000000"/>
          <w:sz w:val="32"/>
          <w:szCs w:val="32"/>
        </w:rPr>
        <w:t>：</w:t>
      </w:r>
    </w:p>
    <w:p>
      <w:pPr>
        <w:pStyle w:val="5"/>
        <w:shd w:val="clear" w:color="auto" w:fill="FFFFFF"/>
        <w:adjustRightInd w:val="0"/>
        <w:snapToGrid w:val="0"/>
        <w:spacing w:before="0" w:beforeAutospacing="0" w:after="0" w:afterAutospacing="0"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（一）高职教育质量与评价</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1.江苏高等职业教育的社会服务能力评价研究</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2.高职院校专业综合评价指标体系研究</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3.构建适应我国国情的高等职业教育质量监测与评价体系研究</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4.江苏高等职业教育质量的国际/国内比较研究</w:t>
      </w:r>
    </w:p>
    <w:p>
      <w:pPr>
        <w:pStyle w:val="5"/>
        <w:shd w:val="clear" w:color="auto" w:fill="FFFFFF"/>
        <w:adjustRightInd w:val="0"/>
        <w:snapToGrid w:val="0"/>
        <w:spacing w:before="0" w:beforeAutospacing="0" w:after="0" w:afterAutospacing="0"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（二）本科教育质量与评价</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1.江苏高校社会服务能力综合评价研究</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2.江苏高等教育质量监测与评价体系研究</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.江苏本科教育质量的国际/国内比较研究</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.江苏</w:t>
      </w:r>
      <w:r>
        <w:rPr>
          <w:rFonts w:ascii="仿宋" w:hAnsi="仿宋" w:eastAsia="仿宋"/>
          <w:color w:val="000000"/>
          <w:sz w:val="32"/>
          <w:szCs w:val="32"/>
        </w:rPr>
        <w:t>高校本科专业综合评估中的</w:t>
      </w:r>
      <w:r>
        <w:rPr>
          <w:rFonts w:hint="eastAsia" w:ascii="仿宋" w:hAnsi="仿宋" w:eastAsia="仿宋"/>
          <w:color w:val="000000"/>
          <w:sz w:val="32"/>
          <w:szCs w:val="32"/>
        </w:rPr>
        <w:t>若干专业大类评价指标与实施策略研究</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.江苏高校/专业排名综合研究</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.高校毕业生持续发展情况报告</w:t>
      </w:r>
    </w:p>
    <w:p>
      <w:pPr>
        <w:pStyle w:val="5"/>
        <w:shd w:val="clear" w:color="auto" w:fill="FFFFFF"/>
        <w:adjustRightInd w:val="0"/>
        <w:snapToGrid w:val="0"/>
        <w:spacing w:before="0" w:beforeAutospacing="0" w:after="0" w:afterAutospacing="0"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（三）院校教育质量与评价</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1.院校教学质量保障体系的构建、运行与评估</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2.“新工科”</w:t>
      </w:r>
      <w:r>
        <w:rPr>
          <w:rFonts w:ascii="仿宋" w:hAnsi="仿宋" w:eastAsia="仿宋"/>
          <w:color w:val="000000"/>
          <w:sz w:val="32"/>
          <w:szCs w:val="32"/>
        </w:rPr>
        <w:t>类</w:t>
      </w:r>
      <w:r>
        <w:rPr>
          <w:rFonts w:hint="eastAsia" w:ascii="仿宋" w:hAnsi="仿宋" w:eastAsia="仿宋"/>
          <w:color w:val="000000"/>
          <w:sz w:val="32"/>
          <w:szCs w:val="32"/>
        </w:rPr>
        <w:t>专业人才培养质量标准及评价体系研究</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3.工程教育专业认证标准与江苏省高校专业评估标准衔接研究</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4.专业评价与专业结构动态优化调整机制研究</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5.高校本科教学基本状态数据库建设与利用的实践与研究</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6.教育信息化时代高校教学质量评价体系、方式和方法的实践与研究</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7.大数据在高校教学质量评价体系中的运用研究</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8大数据驱动的高等教育质量监测评估关键技术研究</w:t>
      </w:r>
    </w:p>
    <w:p>
      <w:pPr>
        <w:pStyle w:val="5"/>
        <w:shd w:val="clear" w:color="auto" w:fill="FFFFFF"/>
        <w:adjustRightInd w:val="0"/>
        <w:snapToGrid w:val="0"/>
        <w:spacing w:before="0" w:beforeAutospacing="0" w:after="0" w:afterAutospacing="0"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五</w:t>
      </w:r>
      <w:r>
        <w:rPr>
          <w:rFonts w:ascii="黑体" w:hAnsi="黑体" w:eastAsia="黑体"/>
          <w:color w:val="000000"/>
          <w:sz w:val="32"/>
          <w:szCs w:val="32"/>
        </w:rPr>
        <w:t>、</w:t>
      </w:r>
      <w:r>
        <w:rPr>
          <w:rFonts w:hint="eastAsia" w:ascii="黑体" w:hAnsi="黑体" w:eastAsia="黑体"/>
          <w:color w:val="000000"/>
          <w:sz w:val="32"/>
          <w:szCs w:val="32"/>
        </w:rPr>
        <w:t>投稿须知</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1.应征论文应在</w:t>
      </w:r>
      <w:r>
        <w:rPr>
          <w:rFonts w:ascii="仿宋" w:hAnsi="仿宋" w:eastAsia="仿宋"/>
          <w:color w:val="000000"/>
          <w:sz w:val="32"/>
          <w:szCs w:val="32"/>
        </w:rPr>
        <w:t>5</w:t>
      </w:r>
      <w:r>
        <w:rPr>
          <w:rFonts w:hint="eastAsia" w:ascii="仿宋" w:hAnsi="仿宋" w:eastAsia="仿宋"/>
          <w:color w:val="000000"/>
          <w:sz w:val="32"/>
          <w:szCs w:val="32"/>
        </w:rPr>
        <w:t>000字内，要求主题明确、文字通顺；图中符号与文章中的一致；文章内的名词术语、公式符号统一。</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2.论文需按如下顺序撰写：题目；作者姓名；作者所在单位、城市、邮编；中文摘要；关键词；英文摘要；正文；参考文献；作者简介(姓名、性别、出生年、职称、职务、研究领域)。</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3.论文格式要求如下：</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①标题2号字，居中，占3行，上空2行；</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②作者单位及姓名居中，小4号，楷体；</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③正文5号字宋体，每页40行字，每行40字。</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4.参考文献项目如下：</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规范参考文献格式。正文中的引文、转述等用上角标（如[1]）标注参考文献序号，并与文末参考文献一一对应。</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参考文献格式：①专著[M]、论文集[C]、学位论文[D]、报告[R]—[序号]主要责任人.文献题名[文献类型标识].出版地：出版者.出版年.起止页码（任选）.②期刊文章[J]—[序号]主要责任者.文献题名[J].刊名，年，卷（期）.起止页码.③论文集中的析出文献—[序号]析出文献主要责任者.析出文献题名[A].原文献题名[C]出版地：出版者.出版年.析出文献起止页码.④报纸文章[N]—[序号]主要责任者.文献题名[N].报纸名.出版日期（版次）.⑤国际、国家标准—[序号]标准编号.标准名称[S].⑥专利—[序号]专利所有者.专利题名[P].专利国别：专利号.出版日期.⑦尽量不采用电子文献（如网页、光盘材料）和其他各种未定义文献（如内部资料）。</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标题层次。文中标题层次序号依次为1、2……；1）、2）……；①、②……；a、b……等等。</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5.提交论文摘要(文字通顺，说明论文的主要观点，字数在200字以内)及作者简介(姓名、性别、出生年、职称、职务、研究领域)。</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6.务请在稿件上注明联系方式和E-mail地址。</w:t>
      </w:r>
    </w:p>
    <w:p>
      <w:pPr>
        <w:pStyle w:val="5"/>
        <w:shd w:val="clear" w:color="auto" w:fill="FFFFFF"/>
        <w:adjustRightInd w:val="0"/>
        <w:snapToGrid w:val="0"/>
        <w:spacing w:before="0" w:beforeAutospacing="0" w:after="0" w:afterAutospacing="0"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六、联系方式</w:t>
      </w:r>
    </w:p>
    <w:p>
      <w:pPr>
        <w:pStyle w:val="5"/>
        <w:shd w:val="clear" w:color="auto" w:fill="FFFFFF"/>
        <w:adjustRightInd w:val="0"/>
        <w:snapToGrid w:val="0"/>
        <w:spacing w:before="0" w:beforeAutospacing="0" w:after="0" w:afterAutospacing="0" w:line="360" w:lineRule="auto"/>
        <w:ind w:firstLine="640" w:firstLineChars="200"/>
        <w:rPr>
          <w:rFonts w:ascii="仿宋" w:hAnsi="仿宋" w:eastAsia="仿宋"/>
          <w:sz w:val="32"/>
          <w:szCs w:val="32"/>
        </w:rPr>
      </w:pPr>
      <w:r>
        <w:rPr>
          <w:rFonts w:hint="eastAsia" w:ascii="仿宋" w:hAnsi="仿宋" w:eastAsia="仿宋"/>
          <w:color w:val="000000"/>
          <w:sz w:val="32"/>
          <w:szCs w:val="32"/>
        </w:rPr>
        <w:t>联系人：王全全，电话：0</w:t>
      </w:r>
      <w:r>
        <w:rPr>
          <w:rFonts w:ascii="仿宋" w:hAnsi="仿宋" w:eastAsia="仿宋"/>
          <w:color w:val="000000"/>
          <w:sz w:val="32"/>
          <w:szCs w:val="32"/>
        </w:rPr>
        <w:t>25</w:t>
      </w:r>
      <w:r>
        <w:rPr>
          <w:rFonts w:hint="eastAsia" w:ascii="仿宋" w:hAnsi="仿宋" w:eastAsia="仿宋"/>
          <w:color w:val="000000"/>
          <w:sz w:val="32"/>
          <w:szCs w:val="32"/>
        </w:rPr>
        <w:t>-</w:t>
      </w:r>
      <w:r>
        <w:rPr>
          <w:rFonts w:ascii="仿宋" w:hAnsi="仿宋" w:eastAsia="仿宋"/>
          <w:color w:val="000000"/>
          <w:sz w:val="32"/>
          <w:szCs w:val="32"/>
        </w:rPr>
        <w:t>83335269</w:t>
      </w:r>
      <w:r>
        <w:rPr>
          <w:rFonts w:hint="eastAsia" w:ascii="仿宋" w:hAnsi="仿宋" w:eastAsia="仿宋"/>
          <w:color w:val="000000"/>
          <w:sz w:val="32"/>
          <w:szCs w:val="32"/>
        </w:rPr>
        <w:t>，</w:t>
      </w:r>
      <w:r>
        <w:rPr>
          <w:rFonts w:hint="eastAsia" w:ascii="仿宋" w:hAnsi="仿宋" w:eastAsia="仿宋"/>
          <w:color w:val="auto"/>
          <w:sz w:val="32"/>
          <w:szCs w:val="32"/>
        </w:rPr>
        <w:t>邮箱：</w:t>
      </w:r>
      <w:r>
        <w:rPr>
          <w:color w:val="auto"/>
        </w:rPr>
        <w:t>wang_quanquan@aliyun.com</w:t>
      </w:r>
      <w:r>
        <w:rPr>
          <w:rFonts w:hint="eastAsia" w:ascii="仿宋" w:hAnsi="仿宋" w:eastAsia="仿宋"/>
          <w:color w:val="auto"/>
          <w:sz w:val="32"/>
          <w:szCs w:val="32"/>
        </w:rPr>
        <w:t>。</w:t>
      </w:r>
      <w:bookmarkStart w:id="0" w:name="_GoBack"/>
      <w:bookmarkEnd w:id="0"/>
      <w:r>
        <w:rPr>
          <w:rFonts w:hint="eastAsia" w:ascii="仿宋" w:hAnsi="仿宋" w:eastAsia="仿宋"/>
          <w:color w:val="auto"/>
          <w:sz w:val="32"/>
          <w:szCs w:val="32"/>
        </w:rPr>
        <w:t>地址：南京市北京</w:t>
      </w:r>
      <w:r>
        <w:rPr>
          <w:rFonts w:ascii="仿宋" w:hAnsi="仿宋" w:eastAsia="仿宋"/>
          <w:color w:val="auto"/>
          <w:sz w:val="32"/>
          <w:szCs w:val="32"/>
        </w:rPr>
        <w:t>西路</w:t>
      </w:r>
      <w:r>
        <w:rPr>
          <w:rFonts w:hint="eastAsia" w:ascii="仿宋" w:hAnsi="仿宋" w:eastAsia="仿宋"/>
          <w:color w:val="auto"/>
          <w:sz w:val="32"/>
          <w:szCs w:val="32"/>
        </w:rPr>
        <w:t>15号</w:t>
      </w:r>
      <w:r>
        <w:rPr>
          <w:rFonts w:ascii="仿宋" w:hAnsi="仿宋" w:eastAsia="仿宋"/>
          <w:color w:val="000000"/>
          <w:sz w:val="32"/>
          <w:szCs w:val="32"/>
        </w:rPr>
        <w:t>，江苏</w:t>
      </w:r>
      <w:r>
        <w:rPr>
          <w:rFonts w:hint="eastAsia" w:ascii="仿宋" w:hAnsi="仿宋" w:eastAsia="仿宋"/>
          <w:color w:val="000000"/>
          <w:sz w:val="32"/>
          <w:szCs w:val="32"/>
        </w:rPr>
        <w:t>省</w:t>
      </w:r>
      <w:r>
        <w:rPr>
          <w:rFonts w:ascii="仿宋" w:hAnsi="仿宋" w:eastAsia="仿宋"/>
          <w:color w:val="000000"/>
          <w:sz w:val="32"/>
          <w:szCs w:val="32"/>
        </w:rPr>
        <w:t>教育</w:t>
      </w:r>
      <w:r>
        <w:rPr>
          <w:rFonts w:hint="eastAsia" w:ascii="仿宋" w:hAnsi="仿宋" w:eastAsia="仿宋"/>
          <w:color w:val="000000"/>
          <w:sz w:val="32"/>
          <w:szCs w:val="32"/>
        </w:rPr>
        <w:t>评估院。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05"/>
    <w:rsid w:val="00027238"/>
    <w:rsid w:val="00042C8D"/>
    <w:rsid w:val="000D6490"/>
    <w:rsid w:val="00142D84"/>
    <w:rsid w:val="001D2F05"/>
    <w:rsid w:val="00207B09"/>
    <w:rsid w:val="00210B01"/>
    <w:rsid w:val="00240D43"/>
    <w:rsid w:val="0026557E"/>
    <w:rsid w:val="00290945"/>
    <w:rsid w:val="00302D14"/>
    <w:rsid w:val="004629DF"/>
    <w:rsid w:val="00465DD3"/>
    <w:rsid w:val="00560A79"/>
    <w:rsid w:val="005743D2"/>
    <w:rsid w:val="005D1492"/>
    <w:rsid w:val="005F4B96"/>
    <w:rsid w:val="00616714"/>
    <w:rsid w:val="00630BD1"/>
    <w:rsid w:val="00673DAB"/>
    <w:rsid w:val="006C5462"/>
    <w:rsid w:val="00735DC7"/>
    <w:rsid w:val="007504C8"/>
    <w:rsid w:val="007E7CD5"/>
    <w:rsid w:val="0088357D"/>
    <w:rsid w:val="008C6392"/>
    <w:rsid w:val="008F55E1"/>
    <w:rsid w:val="00924DB8"/>
    <w:rsid w:val="009D132B"/>
    <w:rsid w:val="00A304FB"/>
    <w:rsid w:val="00A83D20"/>
    <w:rsid w:val="00AC6F8F"/>
    <w:rsid w:val="00AF1D69"/>
    <w:rsid w:val="00B70DAD"/>
    <w:rsid w:val="00BA2107"/>
    <w:rsid w:val="00C57557"/>
    <w:rsid w:val="00C87BD2"/>
    <w:rsid w:val="00CE2EC3"/>
    <w:rsid w:val="00D04485"/>
    <w:rsid w:val="00D15A3F"/>
    <w:rsid w:val="00D45AD9"/>
    <w:rsid w:val="00D62192"/>
    <w:rsid w:val="00D74682"/>
    <w:rsid w:val="00DD52B6"/>
    <w:rsid w:val="00E21BFC"/>
    <w:rsid w:val="00E358E3"/>
    <w:rsid w:val="00E70311"/>
    <w:rsid w:val="00EE160C"/>
    <w:rsid w:val="00EF439B"/>
    <w:rsid w:val="19C70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258</Words>
  <Characters>1471</Characters>
  <Lines>12</Lines>
  <Paragraphs>3</Paragraphs>
  <TotalTime>0</TotalTime>
  <ScaleCrop>false</ScaleCrop>
  <LinksUpToDate>false</LinksUpToDate>
  <CharactersWithSpaces>1726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2017-12-27T02:07:00Z</dcterms:created>
  <dc:creator>admin401</dc:creator>
  <cp:lastModifiedBy>古木夕阳</cp:lastModifiedBy>
  <cp:lastPrinted>2017-12-18T00:11:00Z</cp:lastPrinted>
  <dcterms:modified xsi:type="dcterms:W3CDTF">2018-01-08T11:14:25Z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