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sz w:val="32"/>
          <w:szCs w:val="32"/>
        </w:rPr>
      </w:pPr>
      <w:r>
        <w:rPr>
          <w:rFonts w:eastAsia="黑体"/>
          <w:sz w:val="32"/>
          <w:szCs w:val="32"/>
        </w:rPr>
        <w:t>附件6</w:t>
      </w:r>
    </w:p>
    <w:p>
      <w:pPr>
        <w:spacing w:after="157" w:afterLines="50"/>
        <w:jc w:val="center"/>
        <w:outlineLvl w:val="0"/>
        <w:rPr>
          <w:rFonts w:eastAsia="方正小标宋简体"/>
          <w:sz w:val="44"/>
          <w:szCs w:val="44"/>
        </w:rPr>
      </w:pPr>
      <w:bookmarkStart w:id="0" w:name="_GoBack"/>
      <w:r>
        <w:rPr>
          <w:rFonts w:eastAsia="方正小标宋简体"/>
          <w:sz w:val="44"/>
          <w:szCs w:val="44"/>
        </w:rPr>
        <w:t>研究生课程思政教学研究示范中心</w:t>
      </w:r>
      <w:r>
        <w:rPr>
          <w:rFonts w:eastAsia="方正小标宋简体"/>
          <w:kern w:val="0"/>
          <w:sz w:val="44"/>
          <w:szCs w:val="44"/>
        </w:rPr>
        <w:t>（培育）</w:t>
      </w:r>
      <w:r>
        <w:rPr>
          <w:rFonts w:eastAsia="方正小标宋简体"/>
          <w:sz w:val="44"/>
          <w:szCs w:val="44"/>
        </w:rPr>
        <w:t>遴选指标体系</w:t>
      </w:r>
    </w:p>
    <w:bookmarkEnd w:id="0"/>
    <w:tbl>
      <w:tblPr>
        <w:tblStyle w:val="2"/>
        <w:tblW w:w="14919" w:type="dxa"/>
        <w:jc w:val="center"/>
        <w:tblLayout w:type="autofit"/>
        <w:tblCellMar>
          <w:top w:w="0" w:type="dxa"/>
          <w:left w:w="108" w:type="dxa"/>
          <w:bottom w:w="0" w:type="dxa"/>
          <w:right w:w="108" w:type="dxa"/>
        </w:tblCellMar>
      </w:tblPr>
      <w:tblGrid>
        <w:gridCol w:w="1984"/>
        <w:gridCol w:w="1475"/>
        <w:gridCol w:w="10460"/>
        <w:gridCol w:w="1000"/>
      </w:tblGrid>
      <w:tr>
        <w:tblPrEx>
          <w:tblCellMar>
            <w:top w:w="0" w:type="dxa"/>
            <w:left w:w="108" w:type="dxa"/>
            <w:bottom w:w="0" w:type="dxa"/>
            <w:right w:w="108" w:type="dxa"/>
          </w:tblCellMar>
        </w:tblPrEx>
        <w:trPr>
          <w:trHeight w:val="400"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kern w:val="0"/>
                <w:sz w:val="22"/>
              </w:rPr>
            </w:pPr>
            <w:r>
              <w:rPr>
                <w:rFonts w:eastAsia="仿宋_GB2312"/>
                <w:b/>
                <w:bCs/>
                <w:kern w:val="0"/>
                <w:sz w:val="22"/>
              </w:rPr>
              <w:t>一级指标</w:t>
            </w:r>
          </w:p>
        </w:tc>
        <w:tc>
          <w:tcPr>
            <w:tcW w:w="147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 w:val="22"/>
              </w:rPr>
            </w:pPr>
            <w:r>
              <w:rPr>
                <w:rFonts w:eastAsia="仿宋_GB2312"/>
                <w:b/>
                <w:bCs/>
                <w:kern w:val="0"/>
                <w:sz w:val="22"/>
              </w:rPr>
              <w:t>二级指标</w:t>
            </w:r>
          </w:p>
        </w:tc>
        <w:tc>
          <w:tcPr>
            <w:tcW w:w="1046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 w:val="22"/>
              </w:rPr>
            </w:pPr>
            <w:r>
              <w:rPr>
                <w:rFonts w:eastAsia="仿宋_GB2312"/>
                <w:b/>
                <w:bCs/>
                <w:kern w:val="0"/>
                <w:sz w:val="22"/>
              </w:rPr>
              <w:t>指标说明</w:t>
            </w:r>
          </w:p>
        </w:tc>
        <w:tc>
          <w:tcPr>
            <w:tcW w:w="10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 w:val="22"/>
              </w:rPr>
            </w:pPr>
            <w:r>
              <w:rPr>
                <w:rFonts w:eastAsia="仿宋_GB2312"/>
                <w:b/>
                <w:bCs/>
                <w:kern w:val="0"/>
                <w:sz w:val="22"/>
              </w:rPr>
              <w:t>分值</w:t>
            </w:r>
          </w:p>
        </w:tc>
      </w:tr>
      <w:tr>
        <w:tblPrEx>
          <w:tblCellMar>
            <w:top w:w="0" w:type="dxa"/>
            <w:left w:w="108" w:type="dxa"/>
            <w:bottom w:w="0" w:type="dxa"/>
            <w:right w:w="108" w:type="dxa"/>
          </w:tblCellMar>
        </w:tblPrEx>
        <w:trPr>
          <w:trHeight w:val="480" w:hRule="atLeast"/>
          <w:jc w:val="center"/>
        </w:trPr>
        <w:tc>
          <w:tcPr>
            <w:tcW w:w="1984" w:type="dxa"/>
            <w:vMerge w:val="restart"/>
            <w:tcBorders>
              <w:top w:val="nil"/>
              <w:left w:val="single" w:color="auto" w:sz="4" w:space="0"/>
              <w:bottom w:val="single" w:color="auto" w:sz="4" w:space="0"/>
              <w:right w:val="single" w:color="auto" w:sz="4" w:space="0"/>
            </w:tcBorders>
            <w:noWrap w:val="0"/>
            <w:vAlign w:val="center"/>
          </w:tcPr>
          <w:p>
            <w:pPr>
              <w:widowControl/>
              <w:jc w:val="center"/>
              <w:rPr>
                <w:kern w:val="0"/>
                <w:sz w:val="22"/>
              </w:rPr>
            </w:pPr>
            <w:r>
              <w:rPr>
                <w:kern w:val="0"/>
                <w:sz w:val="22"/>
              </w:rPr>
              <w:t>组织机构</w:t>
            </w:r>
          </w:p>
          <w:p>
            <w:pPr>
              <w:widowControl/>
              <w:jc w:val="center"/>
              <w:rPr>
                <w:kern w:val="0"/>
                <w:sz w:val="22"/>
              </w:rPr>
            </w:pPr>
            <w:r>
              <w:rPr>
                <w:kern w:val="0"/>
                <w:sz w:val="22"/>
              </w:rPr>
              <w:t>（10分）</w:t>
            </w:r>
          </w:p>
        </w:tc>
        <w:tc>
          <w:tcPr>
            <w:tcW w:w="1475"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机构设置</w:t>
            </w:r>
          </w:p>
        </w:tc>
        <w:tc>
          <w:tcPr>
            <w:tcW w:w="10460" w:type="dxa"/>
            <w:tcBorders>
              <w:top w:val="nil"/>
              <w:left w:val="nil"/>
              <w:bottom w:val="single" w:color="auto" w:sz="4" w:space="0"/>
              <w:right w:val="single" w:color="auto" w:sz="4" w:space="0"/>
            </w:tcBorders>
            <w:noWrap w:val="0"/>
            <w:vAlign w:val="center"/>
          </w:tcPr>
          <w:p>
            <w:pPr>
              <w:widowControl/>
              <w:jc w:val="left"/>
              <w:rPr>
                <w:kern w:val="0"/>
                <w:sz w:val="22"/>
              </w:rPr>
            </w:pPr>
            <w:r>
              <w:rPr>
                <w:kern w:val="0"/>
                <w:sz w:val="22"/>
              </w:rPr>
              <w:t>中心工作规划清晰，任务职责明确，建立长效的部门协同联动机制。</w:t>
            </w:r>
          </w:p>
        </w:tc>
        <w:tc>
          <w:tcPr>
            <w:tcW w:w="1000"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5</w:t>
            </w:r>
          </w:p>
        </w:tc>
      </w:tr>
      <w:tr>
        <w:tblPrEx>
          <w:tblCellMar>
            <w:top w:w="0" w:type="dxa"/>
            <w:left w:w="108" w:type="dxa"/>
            <w:bottom w:w="0" w:type="dxa"/>
            <w:right w:w="108" w:type="dxa"/>
          </w:tblCellMar>
        </w:tblPrEx>
        <w:trPr>
          <w:trHeight w:val="660" w:hRule="atLeast"/>
          <w:jc w:val="center"/>
        </w:trPr>
        <w:tc>
          <w:tcPr>
            <w:tcW w:w="1984" w:type="dxa"/>
            <w:vMerge w:val="continue"/>
            <w:tcBorders>
              <w:top w:val="nil"/>
              <w:left w:val="single" w:color="auto" w:sz="4" w:space="0"/>
              <w:bottom w:val="single" w:color="auto" w:sz="4" w:space="0"/>
              <w:right w:val="single" w:color="auto" w:sz="4" w:space="0"/>
            </w:tcBorders>
            <w:noWrap w:val="0"/>
            <w:vAlign w:val="center"/>
          </w:tcPr>
          <w:p>
            <w:pPr>
              <w:widowControl/>
              <w:jc w:val="left"/>
              <w:rPr>
                <w:kern w:val="0"/>
                <w:sz w:val="22"/>
              </w:rPr>
            </w:pPr>
          </w:p>
        </w:tc>
        <w:tc>
          <w:tcPr>
            <w:tcW w:w="1475"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运行机制</w:t>
            </w:r>
          </w:p>
        </w:tc>
        <w:tc>
          <w:tcPr>
            <w:tcW w:w="10460" w:type="dxa"/>
            <w:tcBorders>
              <w:top w:val="nil"/>
              <w:left w:val="nil"/>
              <w:bottom w:val="single" w:color="auto" w:sz="4" w:space="0"/>
              <w:right w:val="single" w:color="auto" w:sz="4" w:space="0"/>
            </w:tcBorders>
            <w:noWrap w:val="0"/>
            <w:vAlign w:val="center"/>
          </w:tcPr>
          <w:p>
            <w:pPr>
              <w:widowControl/>
              <w:jc w:val="left"/>
              <w:rPr>
                <w:kern w:val="0"/>
                <w:sz w:val="22"/>
              </w:rPr>
            </w:pPr>
            <w:r>
              <w:rPr>
                <w:kern w:val="0"/>
                <w:sz w:val="22"/>
              </w:rPr>
              <w:t>中心运行机制完备，能够建立学院与学校课程思政教学示范中心及其他部门的工作协调机制，建立教师参与课程思政的评价机制，加强课程思政研究过程监督和管理，形成有效的监督管理机制。</w:t>
            </w:r>
          </w:p>
        </w:tc>
        <w:tc>
          <w:tcPr>
            <w:tcW w:w="1000"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5</w:t>
            </w:r>
          </w:p>
        </w:tc>
      </w:tr>
      <w:tr>
        <w:tblPrEx>
          <w:tblCellMar>
            <w:top w:w="0" w:type="dxa"/>
            <w:left w:w="108" w:type="dxa"/>
            <w:bottom w:w="0" w:type="dxa"/>
            <w:right w:w="108" w:type="dxa"/>
          </w:tblCellMar>
        </w:tblPrEx>
        <w:trPr>
          <w:trHeight w:val="720" w:hRule="atLeast"/>
          <w:jc w:val="center"/>
        </w:trPr>
        <w:tc>
          <w:tcPr>
            <w:tcW w:w="1984" w:type="dxa"/>
            <w:vMerge w:val="restart"/>
            <w:tcBorders>
              <w:top w:val="nil"/>
              <w:left w:val="single" w:color="auto" w:sz="4" w:space="0"/>
              <w:bottom w:val="single" w:color="000000" w:sz="4" w:space="0"/>
              <w:right w:val="single" w:color="auto" w:sz="4" w:space="0"/>
            </w:tcBorders>
            <w:noWrap w:val="0"/>
            <w:vAlign w:val="center"/>
          </w:tcPr>
          <w:p>
            <w:pPr>
              <w:widowControl/>
              <w:jc w:val="center"/>
              <w:rPr>
                <w:kern w:val="0"/>
                <w:sz w:val="22"/>
              </w:rPr>
            </w:pPr>
            <w:r>
              <w:rPr>
                <w:kern w:val="0"/>
                <w:sz w:val="22"/>
              </w:rPr>
              <w:t>队伍建设</w:t>
            </w:r>
          </w:p>
          <w:p>
            <w:pPr>
              <w:widowControl/>
              <w:jc w:val="center"/>
              <w:rPr>
                <w:kern w:val="0"/>
                <w:sz w:val="22"/>
              </w:rPr>
            </w:pPr>
            <w:r>
              <w:rPr>
                <w:kern w:val="0"/>
                <w:sz w:val="22"/>
              </w:rPr>
              <w:t>（12分）</w:t>
            </w:r>
          </w:p>
        </w:tc>
        <w:tc>
          <w:tcPr>
            <w:tcW w:w="1475"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中心负责人</w:t>
            </w:r>
          </w:p>
        </w:tc>
        <w:tc>
          <w:tcPr>
            <w:tcW w:w="10460" w:type="dxa"/>
            <w:tcBorders>
              <w:top w:val="nil"/>
              <w:left w:val="nil"/>
              <w:bottom w:val="single" w:color="auto" w:sz="4" w:space="0"/>
              <w:right w:val="single" w:color="auto" w:sz="4" w:space="0"/>
            </w:tcBorders>
            <w:noWrap w:val="0"/>
            <w:vAlign w:val="center"/>
          </w:tcPr>
          <w:p>
            <w:pPr>
              <w:widowControl/>
              <w:jc w:val="left"/>
              <w:rPr>
                <w:kern w:val="0"/>
                <w:sz w:val="22"/>
              </w:rPr>
            </w:pPr>
            <w:r>
              <w:rPr>
                <w:kern w:val="0"/>
                <w:sz w:val="22"/>
              </w:rPr>
              <w:t>中心负责人政治立场坚定，师德师风良好，对如何结合本校办学定位和专业特色开展课程思政建设有深刻理解，具有丰富的课程思政建设实践经验和理论研究成果。</w:t>
            </w:r>
          </w:p>
        </w:tc>
        <w:tc>
          <w:tcPr>
            <w:tcW w:w="1000"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6</w:t>
            </w:r>
          </w:p>
        </w:tc>
      </w:tr>
      <w:tr>
        <w:tblPrEx>
          <w:tblCellMar>
            <w:top w:w="0" w:type="dxa"/>
            <w:left w:w="108" w:type="dxa"/>
            <w:bottom w:w="0" w:type="dxa"/>
            <w:right w:w="108" w:type="dxa"/>
          </w:tblCellMar>
        </w:tblPrEx>
        <w:trPr>
          <w:trHeight w:val="480" w:hRule="atLeast"/>
          <w:jc w:val="center"/>
        </w:trPr>
        <w:tc>
          <w:tcPr>
            <w:tcW w:w="1984" w:type="dxa"/>
            <w:vMerge w:val="continue"/>
            <w:tcBorders>
              <w:top w:val="nil"/>
              <w:left w:val="single" w:color="auto" w:sz="4" w:space="0"/>
              <w:bottom w:val="single" w:color="000000" w:sz="4" w:space="0"/>
              <w:right w:val="single" w:color="auto" w:sz="4" w:space="0"/>
            </w:tcBorders>
            <w:noWrap w:val="0"/>
            <w:vAlign w:val="center"/>
          </w:tcPr>
          <w:p>
            <w:pPr>
              <w:widowControl/>
              <w:jc w:val="left"/>
              <w:rPr>
                <w:kern w:val="0"/>
                <w:sz w:val="22"/>
              </w:rPr>
            </w:pPr>
          </w:p>
        </w:tc>
        <w:tc>
          <w:tcPr>
            <w:tcW w:w="1475"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中心成员</w:t>
            </w:r>
          </w:p>
        </w:tc>
        <w:tc>
          <w:tcPr>
            <w:tcW w:w="10460" w:type="dxa"/>
            <w:tcBorders>
              <w:top w:val="nil"/>
              <w:left w:val="nil"/>
              <w:bottom w:val="single" w:color="auto" w:sz="4" w:space="0"/>
              <w:right w:val="single" w:color="auto" w:sz="4" w:space="0"/>
            </w:tcBorders>
            <w:noWrap w:val="0"/>
            <w:vAlign w:val="center"/>
          </w:tcPr>
          <w:p>
            <w:pPr>
              <w:widowControl/>
              <w:jc w:val="left"/>
              <w:rPr>
                <w:kern w:val="0"/>
                <w:sz w:val="22"/>
              </w:rPr>
            </w:pPr>
            <w:r>
              <w:rPr>
                <w:kern w:val="0"/>
                <w:sz w:val="22"/>
              </w:rPr>
              <w:t>中心成员配备科学合理，具有相应的课程思政建设实践经验和理论研究基础。</w:t>
            </w:r>
          </w:p>
        </w:tc>
        <w:tc>
          <w:tcPr>
            <w:tcW w:w="1000"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6</w:t>
            </w:r>
          </w:p>
        </w:tc>
      </w:tr>
      <w:tr>
        <w:tblPrEx>
          <w:tblCellMar>
            <w:top w:w="0" w:type="dxa"/>
            <w:left w:w="108" w:type="dxa"/>
            <w:bottom w:w="0" w:type="dxa"/>
            <w:right w:w="108" w:type="dxa"/>
          </w:tblCellMar>
        </w:tblPrEx>
        <w:trPr>
          <w:trHeight w:val="500" w:hRule="atLeast"/>
          <w:jc w:val="center"/>
        </w:trPr>
        <w:tc>
          <w:tcPr>
            <w:tcW w:w="1984" w:type="dxa"/>
            <w:vMerge w:val="restart"/>
            <w:tcBorders>
              <w:top w:val="nil"/>
              <w:left w:val="single" w:color="auto" w:sz="4" w:space="0"/>
              <w:bottom w:val="single" w:color="000000" w:sz="4" w:space="0"/>
              <w:right w:val="single" w:color="auto" w:sz="4" w:space="0"/>
            </w:tcBorders>
            <w:noWrap w:val="0"/>
            <w:vAlign w:val="center"/>
          </w:tcPr>
          <w:p>
            <w:pPr>
              <w:widowControl/>
              <w:jc w:val="center"/>
              <w:rPr>
                <w:kern w:val="0"/>
                <w:sz w:val="22"/>
              </w:rPr>
            </w:pPr>
            <w:r>
              <w:rPr>
                <w:kern w:val="0"/>
                <w:sz w:val="22"/>
              </w:rPr>
              <w:t>建设内容</w:t>
            </w:r>
          </w:p>
          <w:p>
            <w:pPr>
              <w:widowControl/>
              <w:jc w:val="center"/>
              <w:rPr>
                <w:kern w:val="0"/>
                <w:sz w:val="22"/>
              </w:rPr>
            </w:pPr>
            <w:r>
              <w:rPr>
                <w:kern w:val="0"/>
                <w:sz w:val="22"/>
              </w:rPr>
              <w:t>（44分）</w:t>
            </w:r>
          </w:p>
        </w:tc>
        <w:tc>
          <w:tcPr>
            <w:tcW w:w="1475"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发展定位和主要职责</w:t>
            </w:r>
          </w:p>
        </w:tc>
        <w:tc>
          <w:tcPr>
            <w:tcW w:w="10460" w:type="dxa"/>
            <w:tcBorders>
              <w:top w:val="nil"/>
              <w:left w:val="nil"/>
              <w:bottom w:val="single" w:color="auto" w:sz="4" w:space="0"/>
              <w:right w:val="single" w:color="auto" w:sz="4" w:space="0"/>
            </w:tcBorders>
            <w:noWrap w:val="0"/>
            <w:vAlign w:val="center"/>
          </w:tcPr>
          <w:p>
            <w:pPr>
              <w:widowControl/>
              <w:jc w:val="left"/>
              <w:rPr>
                <w:kern w:val="0"/>
                <w:sz w:val="22"/>
              </w:rPr>
            </w:pPr>
            <w:r>
              <w:rPr>
                <w:kern w:val="0"/>
                <w:sz w:val="22"/>
              </w:rPr>
              <w:t>中心能聚焦课程思政教学实践和理论研究，以立德树人为根本，找准发展定位，明确主要职责。</w:t>
            </w:r>
          </w:p>
        </w:tc>
        <w:tc>
          <w:tcPr>
            <w:tcW w:w="1000"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6</w:t>
            </w:r>
          </w:p>
        </w:tc>
      </w:tr>
      <w:tr>
        <w:tblPrEx>
          <w:tblCellMar>
            <w:top w:w="0" w:type="dxa"/>
            <w:left w:w="108" w:type="dxa"/>
            <w:bottom w:w="0" w:type="dxa"/>
            <w:right w:w="108" w:type="dxa"/>
          </w:tblCellMar>
        </w:tblPrEx>
        <w:trPr>
          <w:trHeight w:val="720" w:hRule="atLeast"/>
          <w:jc w:val="center"/>
        </w:trPr>
        <w:tc>
          <w:tcPr>
            <w:tcW w:w="1984" w:type="dxa"/>
            <w:vMerge w:val="continue"/>
            <w:tcBorders>
              <w:top w:val="nil"/>
              <w:left w:val="single" w:color="auto" w:sz="4" w:space="0"/>
              <w:bottom w:val="single" w:color="000000" w:sz="4" w:space="0"/>
              <w:right w:val="single" w:color="auto" w:sz="4" w:space="0"/>
            </w:tcBorders>
            <w:noWrap w:val="0"/>
            <w:vAlign w:val="center"/>
          </w:tcPr>
          <w:p>
            <w:pPr>
              <w:widowControl/>
              <w:jc w:val="left"/>
              <w:rPr>
                <w:kern w:val="0"/>
                <w:sz w:val="22"/>
              </w:rPr>
            </w:pPr>
          </w:p>
        </w:tc>
        <w:tc>
          <w:tcPr>
            <w:tcW w:w="1475"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建设理念</w:t>
            </w:r>
          </w:p>
          <w:p>
            <w:pPr>
              <w:widowControl/>
              <w:jc w:val="center"/>
              <w:rPr>
                <w:kern w:val="0"/>
                <w:sz w:val="22"/>
              </w:rPr>
            </w:pPr>
            <w:r>
              <w:rPr>
                <w:kern w:val="0"/>
                <w:sz w:val="22"/>
              </w:rPr>
              <w:t>与目标</w:t>
            </w:r>
          </w:p>
        </w:tc>
        <w:tc>
          <w:tcPr>
            <w:tcW w:w="10460" w:type="dxa"/>
            <w:tcBorders>
              <w:top w:val="nil"/>
              <w:left w:val="nil"/>
              <w:bottom w:val="single" w:color="auto" w:sz="4" w:space="0"/>
              <w:right w:val="single" w:color="auto" w:sz="4" w:space="0"/>
            </w:tcBorders>
            <w:noWrap w:val="0"/>
            <w:vAlign w:val="center"/>
          </w:tcPr>
          <w:p>
            <w:pPr>
              <w:widowControl/>
              <w:jc w:val="left"/>
              <w:rPr>
                <w:kern w:val="0"/>
                <w:sz w:val="22"/>
              </w:rPr>
            </w:pPr>
            <w:r>
              <w:rPr>
                <w:kern w:val="0"/>
                <w:sz w:val="22"/>
              </w:rPr>
              <w:t>中心有明确的建设理念与目标。</w:t>
            </w:r>
          </w:p>
        </w:tc>
        <w:tc>
          <w:tcPr>
            <w:tcW w:w="1000"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6</w:t>
            </w:r>
          </w:p>
        </w:tc>
      </w:tr>
      <w:tr>
        <w:tblPrEx>
          <w:tblCellMar>
            <w:top w:w="0" w:type="dxa"/>
            <w:left w:w="108" w:type="dxa"/>
            <w:bottom w:w="0" w:type="dxa"/>
            <w:right w:w="108" w:type="dxa"/>
          </w:tblCellMar>
        </w:tblPrEx>
        <w:trPr>
          <w:trHeight w:val="720" w:hRule="atLeast"/>
          <w:jc w:val="center"/>
        </w:trPr>
        <w:tc>
          <w:tcPr>
            <w:tcW w:w="1984" w:type="dxa"/>
            <w:vMerge w:val="continue"/>
            <w:tcBorders>
              <w:top w:val="nil"/>
              <w:left w:val="single" w:color="auto" w:sz="4" w:space="0"/>
              <w:bottom w:val="single" w:color="000000" w:sz="4" w:space="0"/>
              <w:right w:val="single" w:color="auto" w:sz="4" w:space="0"/>
            </w:tcBorders>
            <w:noWrap w:val="0"/>
            <w:vAlign w:val="center"/>
          </w:tcPr>
          <w:p>
            <w:pPr>
              <w:widowControl/>
              <w:jc w:val="left"/>
              <w:rPr>
                <w:kern w:val="0"/>
                <w:sz w:val="22"/>
              </w:rPr>
            </w:pPr>
          </w:p>
        </w:tc>
        <w:tc>
          <w:tcPr>
            <w:tcW w:w="1475" w:type="dxa"/>
            <w:tcBorders>
              <w:top w:val="nil"/>
              <w:left w:val="nil"/>
              <w:bottom w:val="single" w:color="auto" w:sz="4" w:space="0"/>
              <w:right w:val="single" w:color="auto" w:sz="4" w:space="0"/>
            </w:tcBorders>
            <w:noWrap w:val="0"/>
            <w:vAlign w:val="center"/>
          </w:tcPr>
          <w:p>
            <w:pPr>
              <w:widowControl/>
              <w:ind w:left="-105" w:leftChars="-50" w:right="-105" w:rightChars="-50"/>
              <w:jc w:val="center"/>
              <w:rPr>
                <w:kern w:val="0"/>
                <w:sz w:val="22"/>
              </w:rPr>
            </w:pPr>
            <w:r>
              <w:rPr>
                <w:kern w:val="0"/>
                <w:sz w:val="22"/>
              </w:rPr>
              <w:t>课程思政教学研究与建设</w:t>
            </w:r>
          </w:p>
        </w:tc>
        <w:tc>
          <w:tcPr>
            <w:tcW w:w="10460" w:type="dxa"/>
            <w:tcBorders>
              <w:top w:val="nil"/>
              <w:left w:val="nil"/>
              <w:bottom w:val="single" w:color="auto" w:sz="4" w:space="0"/>
              <w:right w:val="single" w:color="auto" w:sz="4" w:space="0"/>
            </w:tcBorders>
            <w:noWrap w:val="0"/>
            <w:vAlign w:val="center"/>
          </w:tcPr>
          <w:p>
            <w:pPr>
              <w:widowControl/>
              <w:jc w:val="left"/>
              <w:rPr>
                <w:kern w:val="0"/>
                <w:sz w:val="22"/>
              </w:rPr>
            </w:pPr>
            <w:r>
              <w:rPr>
                <w:kern w:val="0"/>
                <w:sz w:val="22"/>
              </w:rPr>
              <w:t>中心能逐步形成具有推广价值的经验做法和高质量的研究成果，能指导支持不同学科专业、不同类型课程，立足专业特色和课程育人特点开展课程思政建设，有力推进学校、院系、教师不同层面的课程思政建设，并在校内外形成示范辐射效应。</w:t>
            </w:r>
          </w:p>
        </w:tc>
        <w:tc>
          <w:tcPr>
            <w:tcW w:w="1000"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8</w:t>
            </w:r>
          </w:p>
        </w:tc>
      </w:tr>
      <w:tr>
        <w:tblPrEx>
          <w:tblCellMar>
            <w:top w:w="0" w:type="dxa"/>
            <w:left w:w="108" w:type="dxa"/>
            <w:bottom w:w="0" w:type="dxa"/>
            <w:right w:w="108" w:type="dxa"/>
          </w:tblCellMar>
        </w:tblPrEx>
        <w:trPr>
          <w:trHeight w:val="420" w:hRule="atLeast"/>
          <w:jc w:val="center"/>
        </w:trPr>
        <w:tc>
          <w:tcPr>
            <w:tcW w:w="1984" w:type="dxa"/>
            <w:vMerge w:val="continue"/>
            <w:tcBorders>
              <w:top w:val="nil"/>
              <w:left w:val="single" w:color="auto" w:sz="4" w:space="0"/>
              <w:bottom w:val="single" w:color="000000" w:sz="4" w:space="0"/>
              <w:right w:val="single" w:color="auto" w:sz="4" w:space="0"/>
            </w:tcBorders>
            <w:noWrap w:val="0"/>
            <w:vAlign w:val="center"/>
          </w:tcPr>
          <w:p>
            <w:pPr>
              <w:widowControl/>
              <w:jc w:val="left"/>
              <w:rPr>
                <w:kern w:val="0"/>
                <w:sz w:val="22"/>
              </w:rPr>
            </w:pPr>
          </w:p>
        </w:tc>
        <w:tc>
          <w:tcPr>
            <w:tcW w:w="1475"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探索创新</w:t>
            </w:r>
          </w:p>
        </w:tc>
        <w:tc>
          <w:tcPr>
            <w:tcW w:w="10460" w:type="dxa"/>
            <w:tcBorders>
              <w:top w:val="nil"/>
              <w:left w:val="nil"/>
              <w:bottom w:val="single" w:color="auto" w:sz="4" w:space="0"/>
              <w:right w:val="single" w:color="auto" w:sz="4" w:space="0"/>
            </w:tcBorders>
            <w:noWrap w:val="0"/>
            <w:vAlign w:val="center"/>
          </w:tcPr>
          <w:p>
            <w:pPr>
              <w:widowControl/>
              <w:jc w:val="left"/>
              <w:rPr>
                <w:kern w:val="0"/>
                <w:sz w:val="22"/>
              </w:rPr>
            </w:pPr>
            <w:r>
              <w:rPr>
                <w:kern w:val="0"/>
                <w:sz w:val="22"/>
              </w:rPr>
              <w:t>中心能积极探索创新课程思政建设方法路径，形成具有推广价值的经验做法和高质量的研究成果。</w:t>
            </w:r>
          </w:p>
        </w:tc>
        <w:tc>
          <w:tcPr>
            <w:tcW w:w="1000"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6</w:t>
            </w:r>
          </w:p>
        </w:tc>
      </w:tr>
      <w:tr>
        <w:tblPrEx>
          <w:tblCellMar>
            <w:top w:w="0" w:type="dxa"/>
            <w:left w:w="108" w:type="dxa"/>
            <w:bottom w:w="0" w:type="dxa"/>
            <w:right w:w="108" w:type="dxa"/>
          </w:tblCellMar>
        </w:tblPrEx>
        <w:trPr>
          <w:trHeight w:val="780" w:hRule="atLeast"/>
          <w:jc w:val="center"/>
        </w:trPr>
        <w:tc>
          <w:tcPr>
            <w:tcW w:w="1984" w:type="dxa"/>
            <w:vMerge w:val="continue"/>
            <w:tcBorders>
              <w:top w:val="nil"/>
              <w:left w:val="single" w:color="auto" w:sz="4" w:space="0"/>
              <w:bottom w:val="single" w:color="000000" w:sz="4" w:space="0"/>
              <w:right w:val="single" w:color="auto" w:sz="4" w:space="0"/>
            </w:tcBorders>
            <w:noWrap w:val="0"/>
            <w:vAlign w:val="center"/>
          </w:tcPr>
          <w:p>
            <w:pPr>
              <w:widowControl/>
              <w:jc w:val="left"/>
              <w:rPr>
                <w:kern w:val="0"/>
                <w:sz w:val="22"/>
              </w:rPr>
            </w:pPr>
          </w:p>
        </w:tc>
        <w:tc>
          <w:tcPr>
            <w:tcW w:w="1475"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资源建设</w:t>
            </w:r>
          </w:p>
        </w:tc>
        <w:tc>
          <w:tcPr>
            <w:tcW w:w="10460" w:type="dxa"/>
            <w:tcBorders>
              <w:top w:val="nil"/>
              <w:left w:val="nil"/>
              <w:bottom w:val="single" w:color="auto" w:sz="4" w:space="0"/>
              <w:right w:val="single" w:color="auto" w:sz="4" w:space="0"/>
            </w:tcBorders>
            <w:noWrap w:val="0"/>
            <w:vAlign w:val="center"/>
          </w:tcPr>
          <w:p>
            <w:pPr>
              <w:widowControl/>
              <w:jc w:val="left"/>
              <w:rPr>
                <w:kern w:val="0"/>
                <w:sz w:val="22"/>
              </w:rPr>
            </w:pPr>
            <w:r>
              <w:rPr>
                <w:kern w:val="0"/>
                <w:sz w:val="22"/>
              </w:rPr>
              <w:t>中心能建成一批课程思政优质资源，积极引入的国内高校等研究机构优质项目，建立的示范中心网络资源平台等，为各专业课程思政教师提供专业指导、专题讲座、示范案例、教学素材等资源，为教师提供丰富、实用、便利的教学资源。</w:t>
            </w:r>
          </w:p>
        </w:tc>
        <w:tc>
          <w:tcPr>
            <w:tcW w:w="1000"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6</w:t>
            </w:r>
          </w:p>
        </w:tc>
      </w:tr>
      <w:tr>
        <w:tblPrEx>
          <w:tblCellMar>
            <w:top w:w="0" w:type="dxa"/>
            <w:left w:w="108" w:type="dxa"/>
            <w:bottom w:w="0" w:type="dxa"/>
            <w:right w:w="108" w:type="dxa"/>
          </w:tblCellMar>
        </w:tblPrEx>
        <w:trPr>
          <w:trHeight w:val="780" w:hRule="atLeast"/>
          <w:jc w:val="center"/>
        </w:trPr>
        <w:tc>
          <w:tcPr>
            <w:tcW w:w="1984" w:type="dxa"/>
            <w:vMerge w:val="continue"/>
            <w:tcBorders>
              <w:top w:val="nil"/>
              <w:left w:val="single" w:color="auto" w:sz="4" w:space="0"/>
              <w:bottom w:val="single" w:color="000000" w:sz="4" w:space="0"/>
              <w:right w:val="single" w:color="auto" w:sz="4" w:space="0"/>
            </w:tcBorders>
            <w:noWrap w:val="0"/>
            <w:vAlign w:val="center"/>
          </w:tcPr>
          <w:p>
            <w:pPr>
              <w:widowControl/>
              <w:jc w:val="left"/>
              <w:rPr>
                <w:kern w:val="0"/>
                <w:sz w:val="22"/>
              </w:rPr>
            </w:pPr>
          </w:p>
        </w:tc>
        <w:tc>
          <w:tcPr>
            <w:tcW w:w="1475"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培训交流</w:t>
            </w:r>
          </w:p>
        </w:tc>
        <w:tc>
          <w:tcPr>
            <w:tcW w:w="10460" w:type="dxa"/>
            <w:tcBorders>
              <w:top w:val="nil"/>
              <w:left w:val="nil"/>
              <w:bottom w:val="single" w:color="auto" w:sz="4" w:space="0"/>
              <w:right w:val="single" w:color="auto" w:sz="4" w:space="0"/>
            </w:tcBorders>
            <w:noWrap w:val="0"/>
            <w:vAlign w:val="center"/>
          </w:tcPr>
          <w:p>
            <w:pPr>
              <w:widowControl/>
              <w:jc w:val="left"/>
              <w:rPr>
                <w:kern w:val="0"/>
                <w:sz w:val="22"/>
              </w:rPr>
            </w:pPr>
            <w:r>
              <w:rPr>
                <w:kern w:val="0"/>
                <w:sz w:val="22"/>
              </w:rPr>
              <w:t>中心能开展经常性的课程思政建设教师交流、观摩和培训活动，汇聚专业课和思政课教师合力，积极推动教师课程思政建设能力整体提高。</w:t>
            </w:r>
          </w:p>
        </w:tc>
        <w:tc>
          <w:tcPr>
            <w:tcW w:w="1000"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6</w:t>
            </w:r>
          </w:p>
        </w:tc>
      </w:tr>
      <w:tr>
        <w:tblPrEx>
          <w:tblCellMar>
            <w:top w:w="0" w:type="dxa"/>
            <w:left w:w="108" w:type="dxa"/>
            <w:bottom w:w="0" w:type="dxa"/>
            <w:right w:w="108" w:type="dxa"/>
          </w:tblCellMar>
        </w:tblPrEx>
        <w:trPr>
          <w:trHeight w:val="780" w:hRule="atLeast"/>
          <w:jc w:val="center"/>
        </w:trPr>
        <w:tc>
          <w:tcPr>
            <w:tcW w:w="1984" w:type="dxa"/>
            <w:vMerge w:val="continue"/>
            <w:tcBorders>
              <w:top w:val="nil"/>
              <w:left w:val="single" w:color="auto" w:sz="4" w:space="0"/>
              <w:bottom w:val="single" w:color="000000" w:sz="4" w:space="0"/>
              <w:right w:val="single" w:color="auto" w:sz="4" w:space="0"/>
            </w:tcBorders>
            <w:noWrap w:val="0"/>
            <w:vAlign w:val="center"/>
          </w:tcPr>
          <w:p>
            <w:pPr>
              <w:widowControl/>
              <w:jc w:val="left"/>
              <w:rPr>
                <w:kern w:val="0"/>
                <w:sz w:val="22"/>
              </w:rPr>
            </w:pPr>
          </w:p>
        </w:tc>
        <w:tc>
          <w:tcPr>
            <w:tcW w:w="1475"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评价体系</w:t>
            </w:r>
          </w:p>
          <w:p>
            <w:pPr>
              <w:widowControl/>
              <w:jc w:val="center"/>
              <w:rPr>
                <w:kern w:val="0"/>
                <w:sz w:val="22"/>
              </w:rPr>
            </w:pPr>
            <w:r>
              <w:rPr>
                <w:kern w:val="0"/>
                <w:sz w:val="22"/>
              </w:rPr>
              <w:t>建设</w:t>
            </w:r>
          </w:p>
        </w:tc>
        <w:tc>
          <w:tcPr>
            <w:tcW w:w="10460" w:type="dxa"/>
            <w:tcBorders>
              <w:top w:val="nil"/>
              <w:left w:val="nil"/>
              <w:bottom w:val="single" w:color="auto" w:sz="4" w:space="0"/>
              <w:right w:val="single" w:color="auto" w:sz="4" w:space="0"/>
            </w:tcBorders>
            <w:noWrap w:val="0"/>
            <w:vAlign w:val="center"/>
          </w:tcPr>
          <w:p>
            <w:pPr>
              <w:widowControl/>
              <w:jc w:val="left"/>
              <w:rPr>
                <w:kern w:val="0"/>
                <w:sz w:val="22"/>
              </w:rPr>
            </w:pPr>
            <w:r>
              <w:rPr>
                <w:kern w:val="0"/>
                <w:sz w:val="22"/>
              </w:rPr>
              <w:t>中心能探索建立课程思政建设质量评价体系和激励机制，推动学校将课程思政建设成效纳入院系、教师的绩效考核内容，不断提高教师开展课程思政建设的积极性、主动性。</w:t>
            </w:r>
          </w:p>
        </w:tc>
        <w:tc>
          <w:tcPr>
            <w:tcW w:w="1000"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6</w:t>
            </w:r>
          </w:p>
        </w:tc>
      </w:tr>
      <w:tr>
        <w:tblPrEx>
          <w:tblCellMar>
            <w:top w:w="0" w:type="dxa"/>
            <w:left w:w="108" w:type="dxa"/>
            <w:bottom w:w="0" w:type="dxa"/>
            <w:right w:w="108" w:type="dxa"/>
          </w:tblCellMar>
        </w:tblPrEx>
        <w:trPr>
          <w:trHeight w:val="660" w:hRule="atLeast"/>
          <w:jc w:val="center"/>
        </w:trPr>
        <w:tc>
          <w:tcPr>
            <w:tcW w:w="1984" w:type="dxa"/>
            <w:vMerge w:val="restart"/>
            <w:tcBorders>
              <w:top w:val="nil"/>
              <w:left w:val="single" w:color="auto" w:sz="4" w:space="0"/>
              <w:bottom w:val="single" w:color="000000" w:sz="4" w:space="0"/>
              <w:right w:val="single" w:color="auto" w:sz="4" w:space="0"/>
            </w:tcBorders>
            <w:noWrap w:val="0"/>
            <w:vAlign w:val="center"/>
          </w:tcPr>
          <w:p>
            <w:pPr>
              <w:widowControl/>
              <w:jc w:val="center"/>
              <w:rPr>
                <w:kern w:val="0"/>
                <w:sz w:val="22"/>
              </w:rPr>
            </w:pPr>
            <w:r>
              <w:rPr>
                <w:kern w:val="0"/>
                <w:sz w:val="22"/>
              </w:rPr>
              <w:t>成果成效</w:t>
            </w:r>
          </w:p>
          <w:p>
            <w:pPr>
              <w:widowControl/>
              <w:jc w:val="center"/>
              <w:rPr>
                <w:kern w:val="0"/>
                <w:sz w:val="22"/>
              </w:rPr>
            </w:pPr>
            <w:r>
              <w:rPr>
                <w:kern w:val="0"/>
                <w:sz w:val="22"/>
              </w:rPr>
              <w:t>（16分）</w:t>
            </w:r>
          </w:p>
        </w:tc>
        <w:tc>
          <w:tcPr>
            <w:tcW w:w="1475" w:type="dxa"/>
            <w:tcBorders>
              <w:top w:val="nil"/>
              <w:left w:val="nil"/>
              <w:bottom w:val="single" w:color="auto" w:sz="4" w:space="0"/>
              <w:right w:val="single" w:color="auto" w:sz="4" w:space="0"/>
            </w:tcBorders>
            <w:noWrap w:val="0"/>
            <w:vAlign w:val="center"/>
          </w:tcPr>
          <w:p>
            <w:pPr>
              <w:widowControl/>
              <w:ind w:left="-105" w:leftChars="-50" w:right="-105" w:rightChars="-50"/>
              <w:jc w:val="center"/>
              <w:rPr>
                <w:kern w:val="0"/>
                <w:sz w:val="22"/>
              </w:rPr>
            </w:pPr>
            <w:r>
              <w:rPr>
                <w:kern w:val="0"/>
                <w:sz w:val="22"/>
              </w:rPr>
              <w:t>拟取得的成果</w:t>
            </w:r>
          </w:p>
        </w:tc>
        <w:tc>
          <w:tcPr>
            <w:tcW w:w="10460" w:type="dxa"/>
            <w:tcBorders>
              <w:top w:val="nil"/>
              <w:left w:val="nil"/>
              <w:bottom w:val="single" w:color="auto" w:sz="4" w:space="0"/>
              <w:right w:val="single" w:color="auto" w:sz="4" w:space="0"/>
            </w:tcBorders>
            <w:noWrap w:val="0"/>
            <w:vAlign w:val="center"/>
          </w:tcPr>
          <w:p>
            <w:pPr>
              <w:widowControl/>
              <w:jc w:val="left"/>
              <w:rPr>
                <w:kern w:val="0"/>
                <w:sz w:val="22"/>
              </w:rPr>
            </w:pPr>
            <w:r>
              <w:rPr>
                <w:kern w:val="0"/>
                <w:sz w:val="22"/>
              </w:rPr>
              <w:t>中心在课程思政建设方面能取得突出成效，能自主设立课程思政特色研究项目，推动课程思政教学研究成果产出，能获评省级及以上研究生课程思政示范项目，促进中心整体发展。</w:t>
            </w:r>
          </w:p>
        </w:tc>
        <w:tc>
          <w:tcPr>
            <w:tcW w:w="1000"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8</w:t>
            </w:r>
          </w:p>
        </w:tc>
      </w:tr>
      <w:tr>
        <w:tblPrEx>
          <w:tblCellMar>
            <w:top w:w="0" w:type="dxa"/>
            <w:left w:w="108" w:type="dxa"/>
            <w:bottom w:w="0" w:type="dxa"/>
            <w:right w:w="108" w:type="dxa"/>
          </w:tblCellMar>
        </w:tblPrEx>
        <w:trPr>
          <w:trHeight w:val="460" w:hRule="atLeast"/>
          <w:jc w:val="center"/>
        </w:trPr>
        <w:tc>
          <w:tcPr>
            <w:tcW w:w="1984" w:type="dxa"/>
            <w:vMerge w:val="continue"/>
            <w:tcBorders>
              <w:top w:val="nil"/>
              <w:left w:val="single" w:color="auto" w:sz="4" w:space="0"/>
              <w:bottom w:val="single" w:color="000000" w:sz="4" w:space="0"/>
              <w:right w:val="single" w:color="auto" w:sz="4" w:space="0"/>
            </w:tcBorders>
            <w:noWrap w:val="0"/>
            <w:vAlign w:val="center"/>
          </w:tcPr>
          <w:p>
            <w:pPr>
              <w:widowControl/>
              <w:jc w:val="left"/>
              <w:rPr>
                <w:kern w:val="0"/>
                <w:sz w:val="22"/>
              </w:rPr>
            </w:pPr>
          </w:p>
        </w:tc>
        <w:tc>
          <w:tcPr>
            <w:tcW w:w="1475" w:type="dxa"/>
            <w:tcBorders>
              <w:top w:val="nil"/>
              <w:left w:val="nil"/>
              <w:bottom w:val="single" w:color="auto" w:sz="4" w:space="0"/>
              <w:right w:val="single" w:color="auto" w:sz="4" w:space="0"/>
            </w:tcBorders>
            <w:noWrap w:val="0"/>
            <w:vAlign w:val="center"/>
          </w:tcPr>
          <w:p>
            <w:pPr>
              <w:widowControl/>
              <w:ind w:left="-105" w:leftChars="-50" w:right="-105" w:rightChars="-50"/>
              <w:jc w:val="center"/>
              <w:rPr>
                <w:kern w:val="0"/>
                <w:sz w:val="22"/>
              </w:rPr>
            </w:pPr>
            <w:r>
              <w:rPr>
                <w:kern w:val="0"/>
                <w:sz w:val="22"/>
              </w:rPr>
              <w:t>成果推广使用</w:t>
            </w:r>
          </w:p>
        </w:tc>
        <w:tc>
          <w:tcPr>
            <w:tcW w:w="10460" w:type="dxa"/>
            <w:tcBorders>
              <w:top w:val="nil"/>
              <w:left w:val="nil"/>
              <w:bottom w:val="single" w:color="auto" w:sz="4" w:space="0"/>
              <w:right w:val="single" w:color="auto" w:sz="4" w:space="0"/>
            </w:tcBorders>
            <w:noWrap w:val="0"/>
            <w:vAlign w:val="center"/>
          </w:tcPr>
          <w:p>
            <w:pPr>
              <w:widowControl/>
              <w:jc w:val="left"/>
              <w:rPr>
                <w:kern w:val="0"/>
                <w:sz w:val="22"/>
              </w:rPr>
            </w:pPr>
            <w:r>
              <w:rPr>
                <w:kern w:val="0"/>
                <w:sz w:val="22"/>
              </w:rPr>
              <w:t>中心能有效指导和有力推进学校、院系、教师不同层面的课程思政建设，并在校内外形成示范辐射效应。</w:t>
            </w:r>
          </w:p>
        </w:tc>
        <w:tc>
          <w:tcPr>
            <w:tcW w:w="1000"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8</w:t>
            </w:r>
          </w:p>
        </w:tc>
      </w:tr>
      <w:tr>
        <w:tblPrEx>
          <w:tblCellMar>
            <w:top w:w="0" w:type="dxa"/>
            <w:left w:w="108" w:type="dxa"/>
            <w:bottom w:w="0" w:type="dxa"/>
            <w:right w:w="108" w:type="dxa"/>
          </w:tblCellMar>
        </w:tblPrEx>
        <w:trPr>
          <w:trHeight w:val="526" w:hRule="atLeast"/>
          <w:jc w:val="center"/>
        </w:trPr>
        <w:tc>
          <w:tcPr>
            <w:tcW w:w="1984" w:type="dxa"/>
            <w:vMerge w:val="restart"/>
            <w:tcBorders>
              <w:top w:val="nil"/>
              <w:left w:val="single" w:color="auto" w:sz="4" w:space="0"/>
              <w:bottom w:val="single" w:color="000000" w:sz="4" w:space="0"/>
              <w:right w:val="single" w:color="auto" w:sz="4" w:space="0"/>
            </w:tcBorders>
            <w:noWrap w:val="0"/>
            <w:vAlign w:val="center"/>
          </w:tcPr>
          <w:p>
            <w:pPr>
              <w:widowControl/>
              <w:jc w:val="center"/>
              <w:rPr>
                <w:kern w:val="0"/>
                <w:sz w:val="22"/>
              </w:rPr>
            </w:pPr>
            <w:r>
              <w:rPr>
                <w:kern w:val="0"/>
                <w:sz w:val="22"/>
              </w:rPr>
              <w:t>支持保障</w:t>
            </w:r>
          </w:p>
          <w:p>
            <w:pPr>
              <w:widowControl/>
              <w:jc w:val="center"/>
              <w:rPr>
                <w:kern w:val="0"/>
                <w:sz w:val="22"/>
              </w:rPr>
            </w:pPr>
            <w:r>
              <w:rPr>
                <w:kern w:val="0"/>
                <w:sz w:val="22"/>
              </w:rPr>
              <w:t>（18分）</w:t>
            </w:r>
          </w:p>
        </w:tc>
        <w:tc>
          <w:tcPr>
            <w:tcW w:w="1475"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政策支持</w:t>
            </w:r>
          </w:p>
        </w:tc>
        <w:tc>
          <w:tcPr>
            <w:tcW w:w="10460" w:type="dxa"/>
            <w:tcBorders>
              <w:top w:val="nil"/>
              <w:left w:val="nil"/>
              <w:bottom w:val="single" w:color="auto" w:sz="4" w:space="0"/>
              <w:right w:val="single" w:color="auto" w:sz="4" w:space="0"/>
            </w:tcBorders>
            <w:noWrap w:val="0"/>
            <w:vAlign w:val="center"/>
          </w:tcPr>
          <w:p>
            <w:pPr>
              <w:widowControl/>
              <w:jc w:val="left"/>
              <w:rPr>
                <w:kern w:val="0"/>
                <w:sz w:val="22"/>
              </w:rPr>
            </w:pPr>
            <w:r>
              <w:rPr>
                <w:kern w:val="0"/>
                <w:sz w:val="22"/>
              </w:rPr>
              <w:t>学校出台保障政策文件，规范中心课程思政教研评价制度、培训制度、奖惩制度等，并确保文件有效实施。</w:t>
            </w:r>
          </w:p>
        </w:tc>
        <w:tc>
          <w:tcPr>
            <w:tcW w:w="1000"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6</w:t>
            </w:r>
          </w:p>
        </w:tc>
      </w:tr>
      <w:tr>
        <w:tblPrEx>
          <w:tblCellMar>
            <w:top w:w="0" w:type="dxa"/>
            <w:left w:w="108" w:type="dxa"/>
            <w:bottom w:w="0" w:type="dxa"/>
            <w:right w:w="108" w:type="dxa"/>
          </w:tblCellMar>
        </w:tblPrEx>
        <w:trPr>
          <w:trHeight w:val="526" w:hRule="atLeast"/>
          <w:jc w:val="center"/>
        </w:trPr>
        <w:tc>
          <w:tcPr>
            <w:tcW w:w="1984" w:type="dxa"/>
            <w:vMerge w:val="continue"/>
            <w:tcBorders>
              <w:top w:val="nil"/>
              <w:left w:val="single" w:color="auto" w:sz="4" w:space="0"/>
              <w:bottom w:val="single" w:color="000000" w:sz="4" w:space="0"/>
              <w:right w:val="single" w:color="auto" w:sz="4" w:space="0"/>
            </w:tcBorders>
            <w:noWrap w:val="0"/>
            <w:vAlign w:val="center"/>
          </w:tcPr>
          <w:p>
            <w:pPr>
              <w:widowControl/>
              <w:jc w:val="left"/>
              <w:rPr>
                <w:kern w:val="0"/>
                <w:sz w:val="22"/>
              </w:rPr>
            </w:pPr>
          </w:p>
        </w:tc>
        <w:tc>
          <w:tcPr>
            <w:tcW w:w="1475"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经费投入</w:t>
            </w:r>
          </w:p>
        </w:tc>
        <w:tc>
          <w:tcPr>
            <w:tcW w:w="10460" w:type="dxa"/>
            <w:tcBorders>
              <w:top w:val="nil"/>
              <w:left w:val="nil"/>
              <w:bottom w:val="single" w:color="auto" w:sz="4" w:space="0"/>
              <w:right w:val="single" w:color="auto" w:sz="4" w:space="0"/>
            </w:tcBorders>
            <w:noWrap w:val="0"/>
            <w:vAlign w:val="center"/>
          </w:tcPr>
          <w:p>
            <w:pPr>
              <w:widowControl/>
              <w:jc w:val="left"/>
              <w:rPr>
                <w:kern w:val="0"/>
                <w:sz w:val="22"/>
              </w:rPr>
            </w:pPr>
            <w:r>
              <w:rPr>
                <w:kern w:val="0"/>
                <w:sz w:val="22"/>
              </w:rPr>
              <w:t>学校有充足的经费支持中心建设，能够保障中心开展相关工作。</w:t>
            </w:r>
          </w:p>
        </w:tc>
        <w:tc>
          <w:tcPr>
            <w:tcW w:w="1000"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6</w:t>
            </w:r>
          </w:p>
        </w:tc>
      </w:tr>
      <w:tr>
        <w:tblPrEx>
          <w:tblCellMar>
            <w:top w:w="0" w:type="dxa"/>
            <w:left w:w="108" w:type="dxa"/>
            <w:bottom w:w="0" w:type="dxa"/>
            <w:right w:w="108" w:type="dxa"/>
          </w:tblCellMar>
        </w:tblPrEx>
        <w:trPr>
          <w:trHeight w:val="526" w:hRule="atLeast"/>
          <w:jc w:val="center"/>
        </w:trPr>
        <w:tc>
          <w:tcPr>
            <w:tcW w:w="1984" w:type="dxa"/>
            <w:vMerge w:val="continue"/>
            <w:tcBorders>
              <w:top w:val="nil"/>
              <w:left w:val="single" w:color="auto" w:sz="4" w:space="0"/>
              <w:bottom w:val="single" w:color="000000" w:sz="4" w:space="0"/>
              <w:right w:val="single" w:color="auto" w:sz="4" w:space="0"/>
            </w:tcBorders>
            <w:noWrap w:val="0"/>
            <w:vAlign w:val="center"/>
          </w:tcPr>
          <w:p>
            <w:pPr>
              <w:widowControl/>
              <w:jc w:val="left"/>
              <w:rPr>
                <w:kern w:val="0"/>
                <w:sz w:val="22"/>
              </w:rPr>
            </w:pPr>
          </w:p>
        </w:tc>
        <w:tc>
          <w:tcPr>
            <w:tcW w:w="1475"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硬件设备</w:t>
            </w:r>
          </w:p>
        </w:tc>
        <w:tc>
          <w:tcPr>
            <w:tcW w:w="10460" w:type="dxa"/>
            <w:tcBorders>
              <w:top w:val="nil"/>
              <w:left w:val="nil"/>
              <w:bottom w:val="single" w:color="auto" w:sz="4" w:space="0"/>
              <w:right w:val="single" w:color="auto" w:sz="4" w:space="0"/>
            </w:tcBorders>
            <w:noWrap w:val="0"/>
            <w:vAlign w:val="center"/>
          </w:tcPr>
          <w:p>
            <w:pPr>
              <w:widowControl/>
              <w:jc w:val="left"/>
              <w:rPr>
                <w:kern w:val="0"/>
                <w:sz w:val="22"/>
              </w:rPr>
            </w:pPr>
            <w:r>
              <w:rPr>
                <w:kern w:val="0"/>
                <w:sz w:val="22"/>
              </w:rPr>
              <w:t>中心有专用的办公和教学研究场所，配备满足教学科研需要的电脑、打印机等硬件设施和图书资料等。</w:t>
            </w:r>
          </w:p>
        </w:tc>
        <w:tc>
          <w:tcPr>
            <w:tcW w:w="1000" w:type="dxa"/>
            <w:tcBorders>
              <w:top w:val="nil"/>
              <w:left w:val="nil"/>
              <w:bottom w:val="single" w:color="auto" w:sz="4" w:space="0"/>
              <w:right w:val="single" w:color="auto" w:sz="4" w:space="0"/>
            </w:tcBorders>
            <w:noWrap w:val="0"/>
            <w:vAlign w:val="center"/>
          </w:tcPr>
          <w:p>
            <w:pPr>
              <w:widowControl/>
              <w:jc w:val="center"/>
              <w:rPr>
                <w:kern w:val="0"/>
                <w:sz w:val="22"/>
              </w:rPr>
            </w:pPr>
            <w:r>
              <w:rPr>
                <w:kern w:val="0"/>
                <w:sz w:val="22"/>
              </w:rPr>
              <w:t>6</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YTViYTcyNDAzNGIwNDc5MjU5MTc5M2E0MjA1ZjEifQ=="/>
  </w:docVars>
  <w:rsids>
    <w:rsidRoot w:val="49597821"/>
    <w:rsid w:val="49597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2023-08-12T14:32:00Z</dcterms:created>
  <dc:creator>434575419</dc:creator>
  <cp:lastModifiedBy>434575419</cp:lastModifiedBy>
  <dcterms:modified xsi:type="dcterms:W3CDTF">2023-08-12T14:34:37Z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ED71232FD7BF48359B2ABF52827B229F_11</vt:lpwstr>
  </property>
</Properties>
</file>